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8DEA" w14:textId="4243F631" w:rsidR="00E62EEC" w:rsidRPr="00795848" w:rsidRDefault="00E62EEC" w:rsidP="00795848">
      <w:pPr>
        <w:spacing w:line="360" w:lineRule="auto"/>
        <w:ind w:right="-3"/>
        <w:jc w:val="center"/>
        <w:rPr>
          <w:rFonts w:asciiTheme="minorHAnsi" w:hAnsiTheme="minorHAnsi" w:cstheme="minorHAnsi"/>
          <w:b/>
          <w:u w:val="single"/>
        </w:rPr>
      </w:pPr>
      <w:r w:rsidRPr="00795848">
        <w:rPr>
          <w:rFonts w:asciiTheme="minorHAnsi" w:hAnsiTheme="minorHAnsi" w:cstheme="minorHAnsi"/>
          <w:b/>
          <w:u w:val="single"/>
        </w:rPr>
        <w:t xml:space="preserve">DECRETO Nº </w:t>
      </w:r>
      <w:r w:rsidR="00795848">
        <w:rPr>
          <w:rFonts w:asciiTheme="minorHAnsi" w:hAnsiTheme="minorHAnsi" w:cstheme="minorHAnsi"/>
          <w:b/>
          <w:u w:val="single"/>
        </w:rPr>
        <w:t>1491</w:t>
      </w:r>
      <w:r w:rsidR="007C0AEA" w:rsidRPr="00795848">
        <w:rPr>
          <w:rFonts w:asciiTheme="minorHAnsi" w:hAnsiTheme="minorHAnsi" w:cstheme="minorHAnsi"/>
          <w:b/>
          <w:u w:val="single"/>
        </w:rPr>
        <w:t xml:space="preserve">/2024 </w:t>
      </w:r>
      <w:r w:rsidRPr="00795848">
        <w:rPr>
          <w:rFonts w:asciiTheme="minorHAnsi" w:hAnsiTheme="minorHAnsi" w:cstheme="minorHAnsi"/>
          <w:b/>
          <w:u w:val="single"/>
        </w:rPr>
        <w:t xml:space="preserve">DE </w:t>
      </w:r>
      <w:r w:rsidR="00795848">
        <w:rPr>
          <w:rFonts w:asciiTheme="minorHAnsi" w:hAnsiTheme="minorHAnsi" w:cstheme="minorHAnsi"/>
          <w:b/>
          <w:u w:val="single"/>
        </w:rPr>
        <w:t>OITO</w:t>
      </w:r>
      <w:r w:rsidR="007C0AEA" w:rsidRPr="00795848">
        <w:rPr>
          <w:rFonts w:asciiTheme="minorHAnsi" w:hAnsiTheme="minorHAnsi" w:cstheme="minorHAnsi"/>
          <w:b/>
          <w:u w:val="single"/>
        </w:rPr>
        <w:t xml:space="preserve"> </w:t>
      </w:r>
      <w:r w:rsidRPr="00795848">
        <w:rPr>
          <w:rFonts w:asciiTheme="minorHAnsi" w:hAnsiTheme="minorHAnsi" w:cstheme="minorHAnsi"/>
          <w:b/>
          <w:u w:val="single"/>
        </w:rPr>
        <w:t xml:space="preserve">DE </w:t>
      </w:r>
      <w:r w:rsidR="007C0AEA" w:rsidRPr="00795848">
        <w:rPr>
          <w:rFonts w:asciiTheme="minorHAnsi" w:hAnsiTheme="minorHAnsi" w:cstheme="minorHAnsi"/>
          <w:b/>
          <w:u w:val="single"/>
        </w:rPr>
        <w:t>ABRIL DE 2024</w:t>
      </w:r>
      <w:r w:rsidRPr="00795848">
        <w:rPr>
          <w:rFonts w:asciiTheme="minorHAnsi" w:hAnsiTheme="minorHAnsi" w:cstheme="minorHAnsi"/>
          <w:b/>
          <w:u w:val="single"/>
        </w:rPr>
        <w:t>.</w:t>
      </w:r>
    </w:p>
    <w:p w14:paraId="6F6D013A" w14:textId="77777777" w:rsidR="0082215A" w:rsidRPr="00795848" w:rsidRDefault="0082215A" w:rsidP="00795848">
      <w:pPr>
        <w:spacing w:line="360" w:lineRule="auto"/>
        <w:ind w:left="1560" w:right="-3"/>
        <w:jc w:val="both"/>
        <w:rPr>
          <w:rFonts w:asciiTheme="minorHAnsi" w:hAnsiTheme="minorHAnsi" w:cstheme="minorHAnsi"/>
          <w:b/>
          <w:u w:val="single"/>
        </w:rPr>
      </w:pPr>
    </w:p>
    <w:p w14:paraId="43D50941" w14:textId="77777777" w:rsidR="00E62D9B" w:rsidRPr="00795848" w:rsidRDefault="00E62D9B" w:rsidP="00795848">
      <w:pPr>
        <w:spacing w:line="360" w:lineRule="auto"/>
        <w:ind w:left="1560" w:right="-3"/>
        <w:jc w:val="both"/>
        <w:rPr>
          <w:rFonts w:asciiTheme="minorHAnsi" w:hAnsiTheme="minorHAnsi" w:cstheme="minorHAnsi"/>
          <w:b/>
          <w:u w:val="single"/>
        </w:rPr>
      </w:pPr>
    </w:p>
    <w:p w14:paraId="5ED0CDC4" w14:textId="77777777" w:rsidR="00E62EEC" w:rsidRPr="00795848" w:rsidRDefault="00EB6EB4" w:rsidP="00795848">
      <w:pPr>
        <w:spacing w:line="360" w:lineRule="auto"/>
        <w:ind w:left="4254" w:right="-3"/>
        <w:jc w:val="both"/>
        <w:rPr>
          <w:rFonts w:asciiTheme="minorHAnsi" w:hAnsiTheme="minorHAnsi" w:cstheme="minorHAnsi"/>
          <w:b/>
          <w:i/>
          <w:iCs/>
        </w:rPr>
      </w:pPr>
      <w:r w:rsidRPr="00795848">
        <w:rPr>
          <w:rFonts w:asciiTheme="minorHAnsi" w:hAnsiTheme="minorHAnsi" w:cstheme="minorHAnsi"/>
          <w:i/>
          <w:iCs/>
        </w:rPr>
        <w:t xml:space="preserve">Dispõe e regulamenta o rateio de honorários advocatícios de sucumbência no âmbito do Poder Executivo do Município de </w:t>
      </w:r>
      <w:r w:rsidR="007C0AEA" w:rsidRPr="00795848">
        <w:rPr>
          <w:rFonts w:asciiTheme="minorHAnsi" w:hAnsiTheme="minorHAnsi" w:cstheme="minorHAnsi"/>
          <w:i/>
          <w:iCs/>
        </w:rPr>
        <w:t>Vargem</w:t>
      </w:r>
      <w:r w:rsidR="00E62EEC" w:rsidRPr="00795848">
        <w:rPr>
          <w:rFonts w:asciiTheme="minorHAnsi" w:hAnsiTheme="minorHAnsi" w:cstheme="minorHAnsi"/>
          <w:b/>
          <w:i/>
          <w:iCs/>
        </w:rPr>
        <w:t xml:space="preserve">. </w:t>
      </w:r>
    </w:p>
    <w:p w14:paraId="0B72B92A" w14:textId="77777777" w:rsidR="00E62EEC" w:rsidRPr="00795848" w:rsidRDefault="00E62EEC" w:rsidP="00795848">
      <w:pPr>
        <w:spacing w:line="360" w:lineRule="auto"/>
        <w:ind w:left="1560" w:right="-3" w:firstLine="1842"/>
        <w:jc w:val="both"/>
        <w:rPr>
          <w:rFonts w:asciiTheme="minorHAnsi" w:hAnsiTheme="minorHAnsi" w:cstheme="minorHAnsi"/>
          <w:b/>
        </w:rPr>
      </w:pPr>
    </w:p>
    <w:p w14:paraId="79AAC21F" w14:textId="77777777" w:rsidR="00E62EEC" w:rsidRPr="00795848" w:rsidRDefault="007C0AEA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A</w:t>
      </w:r>
      <w:r w:rsidR="00E62EEC" w:rsidRPr="00795848">
        <w:rPr>
          <w:rFonts w:asciiTheme="minorHAnsi" w:hAnsiTheme="minorHAnsi" w:cstheme="minorHAnsi"/>
          <w:b/>
        </w:rPr>
        <w:t xml:space="preserve"> </w:t>
      </w:r>
      <w:r w:rsidRPr="00795848">
        <w:rPr>
          <w:rFonts w:asciiTheme="minorHAnsi" w:hAnsiTheme="minorHAnsi" w:cstheme="minorHAnsi"/>
          <w:b/>
        </w:rPr>
        <w:t>PREFEITA</w:t>
      </w:r>
      <w:r w:rsidR="00E62EEC" w:rsidRPr="00795848">
        <w:rPr>
          <w:rFonts w:asciiTheme="minorHAnsi" w:hAnsiTheme="minorHAnsi" w:cstheme="minorHAnsi"/>
          <w:b/>
        </w:rPr>
        <w:t xml:space="preserve"> MUNICIPAL</w:t>
      </w:r>
      <w:r w:rsidR="00E62EEC" w:rsidRPr="00795848">
        <w:rPr>
          <w:rFonts w:asciiTheme="minorHAnsi" w:hAnsiTheme="minorHAnsi" w:cstheme="minorHAnsi"/>
        </w:rPr>
        <w:t>, no uso de suas atribuições legais, que lhe são conferidas pelo artigo 10</w:t>
      </w:r>
      <w:r w:rsidR="006F2417" w:rsidRPr="00795848">
        <w:rPr>
          <w:rFonts w:asciiTheme="minorHAnsi" w:hAnsiTheme="minorHAnsi" w:cstheme="minorHAnsi"/>
        </w:rPr>
        <w:t>0</w:t>
      </w:r>
      <w:r w:rsidR="00E62EEC" w:rsidRPr="00795848">
        <w:rPr>
          <w:rFonts w:asciiTheme="minorHAnsi" w:hAnsiTheme="minorHAnsi" w:cstheme="minorHAnsi"/>
        </w:rPr>
        <w:t>, inciso VII, da Lei Orgânica do Município</w:t>
      </w:r>
      <w:r w:rsidR="00FC7039" w:rsidRPr="00795848">
        <w:rPr>
          <w:rFonts w:asciiTheme="minorHAnsi" w:hAnsiTheme="minorHAnsi" w:cstheme="minorHAnsi"/>
        </w:rPr>
        <w:t>;</w:t>
      </w:r>
    </w:p>
    <w:p w14:paraId="26E61114" w14:textId="77777777" w:rsidR="00EB6EB4" w:rsidRPr="00795848" w:rsidRDefault="00EB6EB4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632A02CE" w14:textId="77777777" w:rsidR="00EB6EB4" w:rsidRPr="00795848" w:rsidRDefault="00EB6EB4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que a titularidade dos honorários advocatícios sucumbenciais pertence aos advogados, sendo considerada verba autônoma e que não constitui receita do ente público;</w:t>
      </w:r>
    </w:p>
    <w:p w14:paraId="5DBA912B" w14:textId="77777777" w:rsidR="00EB6EB4" w:rsidRPr="00795848" w:rsidRDefault="00EB6EB4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596013E2" w14:textId="77777777" w:rsidR="00EB6EB4" w:rsidRPr="00795848" w:rsidRDefault="00EB6EB4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o disposto no art. 22 da Lei Federal nº 8.906/1994 (Estatuto da Ordem dos Advogados do Brasil), segundo o qual “a prestação de serviços profissional assegura aos advogados inscritos na OAB o direito aos honorários advocatícios convencionados, aos fixados por arbitramento judicial e aos de sucumbência”;</w:t>
      </w:r>
    </w:p>
    <w:p w14:paraId="55E7A934" w14:textId="77777777" w:rsidR="00EB6EB4" w:rsidRPr="00795848" w:rsidRDefault="00EB6EB4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33532382" w14:textId="77777777" w:rsidR="00EB6EB4" w:rsidRPr="00795848" w:rsidRDefault="00EB6EB4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os termos do art. 85, § 14, da Lei Federal nº 13.105</w:t>
      </w:r>
      <w:r w:rsidR="002E0340" w:rsidRPr="00795848">
        <w:rPr>
          <w:rFonts w:asciiTheme="minorHAnsi" w:hAnsiTheme="minorHAnsi" w:cstheme="minorHAnsi"/>
        </w:rPr>
        <w:t>/2015</w:t>
      </w:r>
      <w:r w:rsidRPr="00795848">
        <w:rPr>
          <w:rFonts w:asciiTheme="minorHAnsi" w:hAnsiTheme="minorHAnsi" w:cstheme="minorHAnsi"/>
        </w:rPr>
        <w:t xml:space="preserve"> (Código de processo Civil)</w:t>
      </w:r>
      <w:r w:rsidR="002E0340" w:rsidRPr="00795848">
        <w:rPr>
          <w:rFonts w:asciiTheme="minorHAnsi" w:hAnsiTheme="minorHAnsi" w:cstheme="minorHAnsi"/>
        </w:rPr>
        <w:t>, que reforça a destinação e a natureza dos honorários advocatícios, estabelecendo que “os honorários constituem direito do advogado e tem natureza alimentar, com os mesmos privilégios dos créditos oriundos da legislação do trabalho, sendo vedada a compensação em caso de sucumbência parcial”;</w:t>
      </w:r>
    </w:p>
    <w:p w14:paraId="1785F01F" w14:textId="77777777" w:rsidR="002E0340" w:rsidRPr="00795848" w:rsidRDefault="002E0340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08598A17" w14:textId="77777777" w:rsidR="002E0340" w:rsidRPr="00795848" w:rsidRDefault="002E0340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="007C0AEA" w:rsidRPr="00795848">
        <w:rPr>
          <w:rFonts w:asciiTheme="minorHAnsi" w:hAnsiTheme="minorHAnsi" w:cstheme="minorHAnsi"/>
        </w:rPr>
        <w:t xml:space="preserve"> a previsão do art. 85, § 19</w:t>
      </w:r>
      <w:r w:rsidRPr="00795848">
        <w:rPr>
          <w:rFonts w:asciiTheme="minorHAnsi" w:hAnsiTheme="minorHAnsi" w:cstheme="minorHAnsi"/>
        </w:rPr>
        <w:t>, da Lei Federal nº 13.105/2015 (Código de processo Civil) que preconiza: “os advogados públicos perceberão honorários de sucumbência, nos termos da lei”;</w:t>
      </w:r>
    </w:p>
    <w:p w14:paraId="6E134A00" w14:textId="77777777" w:rsidR="007C0AEA" w:rsidRPr="00795848" w:rsidRDefault="007C0AEA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750AE44C" w14:textId="77777777" w:rsidR="007C0AEA" w:rsidRPr="00795848" w:rsidRDefault="007C0AEA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a previsão do art. 711 da Lei Complementar Municipal n.° 7017/2005, vigente até </w:t>
      </w:r>
      <w:r w:rsidR="00614583" w:rsidRPr="00795848">
        <w:rPr>
          <w:rFonts w:asciiTheme="minorHAnsi" w:hAnsiTheme="minorHAnsi" w:cstheme="minorHAnsi"/>
        </w:rPr>
        <w:t>15 de novembro de 2021</w:t>
      </w:r>
      <w:r w:rsidRPr="00795848">
        <w:rPr>
          <w:rFonts w:asciiTheme="minorHAnsi" w:hAnsiTheme="minorHAnsi" w:cstheme="minorHAnsi"/>
        </w:rPr>
        <w:t>, que preconiza</w:t>
      </w:r>
      <w:r w:rsidR="00614583" w:rsidRPr="00795848">
        <w:rPr>
          <w:rFonts w:asciiTheme="minorHAnsi" w:hAnsiTheme="minorHAnsi" w:cstheme="minorHAnsi"/>
        </w:rPr>
        <w:t>va</w:t>
      </w:r>
      <w:r w:rsidRPr="00795848">
        <w:rPr>
          <w:rFonts w:asciiTheme="minorHAnsi" w:hAnsiTheme="minorHAnsi" w:cstheme="minorHAnsi"/>
        </w:rPr>
        <w:t>: “os honorários advocatícios sucumbenciais de crédito tributário e fiscal ajuizado que pertencem ao advogado, por força do art. 22 da Lei Federal n.° 8906/94...”;</w:t>
      </w:r>
    </w:p>
    <w:p w14:paraId="3DE53304" w14:textId="77777777" w:rsidR="002E0340" w:rsidRPr="00795848" w:rsidRDefault="002E0340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1CE30097" w14:textId="77777777" w:rsidR="00614583" w:rsidRPr="00795848" w:rsidRDefault="00614583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a previsão do art. 167, §6º, da Lei Complementar Municipal n.° 90/2021, que preconiza: “Os honorários advocatícios, citados no parágrafo anterior, tratam-se de remuneração que a parte vencida em pleito judicial é condenada a pagar aos procuradores, advogados e assessores jurídicos do Município, cujos valores devidos serão inicialmente repassados aos cofres públicos e, posteriormente, aos patronos das respectivas causas, conforme regulação definida em Lei específica”;</w:t>
      </w:r>
    </w:p>
    <w:p w14:paraId="4B9A560E" w14:textId="1501AF05" w:rsidR="002E0340" w:rsidRPr="00795848" w:rsidRDefault="002E0340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o disposto no art. 14, parágrafo único</w:t>
      </w:r>
      <w:r w:rsidR="007320AB" w:rsidRPr="00795848">
        <w:rPr>
          <w:rFonts w:asciiTheme="minorHAnsi" w:hAnsiTheme="minorHAnsi" w:cstheme="minorHAnsi"/>
        </w:rPr>
        <w:t xml:space="preserve">, do Regulamento Geral do Estatuto da Advocacia e da Ordem dos Advogados do Brasil, segundo o qual “os honorários dos advogados empregados constituem fundo comum, cuja destinação é decidida pelos profissionais integrantes </w:t>
      </w:r>
      <w:r w:rsidR="00795848" w:rsidRPr="00795848">
        <w:rPr>
          <w:rFonts w:asciiTheme="minorHAnsi" w:hAnsiTheme="minorHAnsi" w:cstheme="minorHAnsi"/>
        </w:rPr>
        <w:t>do</w:t>
      </w:r>
      <w:r w:rsidR="00795848">
        <w:rPr>
          <w:rFonts w:asciiTheme="minorHAnsi" w:hAnsiTheme="minorHAnsi" w:cstheme="minorHAnsi"/>
        </w:rPr>
        <w:t>s</w:t>
      </w:r>
      <w:r w:rsidR="00795848" w:rsidRPr="00795848">
        <w:rPr>
          <w:rFonts w:asciiTheme="minorHAnsi" w:hAnsiTheme="minorHAnsi" w:cstheme="minorHAnsi"/>
        </w:rPr>
        <w:t xml:space="preserve"> serviço</w:t>
      </w:r>
      <w:r w:rsidR="00795848">
        <w:rPr>
          <w:rFonts w:asciiTheme="minorHAnsi" w:hAnsiTheme="minorHAnsi" w:cstheme="minorHAnsi"/>
        </w:rPr>
        <w:t>s</w:t>
      </w:r>
      <w:r w:rsidR="00795848" w:rsidRPr="00795848">
        <w:rPr>
          <w:rFonts w:asciiTheme="minorHAnsi" w:hAnsiTheme="minorHAnsi" w:cstheme="minorHAnsi"/>
        </w:rPr>
        <w:t xml:space="preserve"> jurídico</w:t>
      </w:r>
      <w:r w:rsidR="00795848">
        <w:rPr>
          <w:rFonts w:asciiTheme="minorHAnsi" w:hAnsiTheme="minorHAnsi" w:cstheme="minorHAnsi"/>
        </w:rPr>
        <w:t>s</w:t>
      </w:r>
      <w:r w:rsidR="007320AB" w:rsidRPr="00795848">
        <w:rPr>
          <w:rFonts w:asciiTheme="minorHAnsi" w:hAnsiTheme="minorHAnsi" w:cstheme="minorHAnsi"/>
        </w:rPr>
        <w:t xml:space="preserve"> da empresa ou por seus representantes”;</w:t>
      </w:r>
    </w:p>
    <w:p w14:paraId="1F02081A" w14:textId="77777777" w:rsidR="007320AB" w:rsidRPr="00795848" w:rsidRDefault="007320AB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que o Pleno do Supremo Tribunal Federal, no julgamento da ADPF 597, da ADI 6159 e da ADI 6162, em 21/08/2020, firmou posicionamento de que </w:t>
      </w:r>
      <w:r w:rsidRPr="00795848">
        <w:rPr>
          <w:rFonts w:asciiTheme="minorHAnsi" w:hAnsiTheme="minorHAnsi" w:cstheme="minorHAnsi"/>
        </w:rPr>
        <w:lastRenderedPageBreak/>
        <w:t>“é constitucional o pagamento de honorários sucumbenciais aos advogados públicos, observando-se, porém, o limite remuneratório previsto no art. 37, XI, da Constituição”</w:t>
      </w:r>
    </w:p>
    <w:p w14:paraId="2BFD7DED" w14:textId="77777777" w:rsidR="007320AB" w:rsidRPr="00795848" w:rsidRDefault="007320AB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36D4B495" w14:textId="77777777" w:rsidR="007320AB" w:rsidRPr="00795848" w:rsidRDefault="007320AB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CONSIDERANDO</w:t>
      </w:r>
      <w:r w:rsidRPr="00795848">
        <w:rPr>
          <w:rFonts w:asciiTheme="minorHAnsi" w:hAnsiTheme="minorHAnsi" w:cstheme="minorHAnsi"/>
        </w:rPr>
        <w:t xml:space="preserve"> que os honorários sucumbenciais </w:t>
      </w:r>
      <w:r w:rsidR="00627B5E" w:rsidRPr="00795848">
        <w:rPr>
          <w:rFonts w:asciiTheme="minorHAnsi" w:hAnsiTheme="minorHAnsi" w:cstheme="minorHAnsi"/>
        </w:rPr>
        <w:t>são considerados ingressos extraorçamentários e, portanto, são recursos financeiros de caráter temporário, do qual o Estado é mero agente depositário, bem como, sua devolução não se sujeita a autorização legislativa, em conformidade com normas da Secretaria do Tesouro Nacional (STN), Manual de Contabilidade Aplicada ao Setor Público (MCA</w:t>
      </w:r>
      <w:r w:rsidR="00614583" w:rsidRPr="00795848">
        <w:rPr>
          <w:rFonts w:asciiTheme="minorHAnsi" w:hAnsiTheme="minorHAnsi" w:cstheme="minorHAnsi"/>
        </w:rPr>
        <w:t>SP) e Lei Federal nº 4.320/1964.</w:t>
      </w:r>
    </w:p>
    <w:p w14:paraId="1920768C" w14:textId="77777777" w:rsidR="00E62EEC" w:rsidRPr="00795848" w:rsidRDefault="00E62EEC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3387DC9C" w14:textId="77777777" w:rsidR="00374E99" w:rsidRPr="00795848" w:rsidRDefault="00374E99" w:rsidP="00795848">
      <w:pPr>
        <w:spacing w:line="360" w:lineRule="auto"/>
        <w:ind w:right="-3" w:firstLine="1418"/>
        <w:jc w:val="both"/>
        <w:rPr>
          <w:rFonts w:asciiTheme="minorHAnsi" w:hAnsiTheme="minorHAnsi" w:cstheme="minorHAnsi"/>
        </w:rPr>
      </w:pPr>
    </w:p>
    <w:p w14:paraId="7E272B3A" w14:textId="77777777" w:rsidR="00D23D9F" w:rsidRPr="00795848" w:rsidRDefault="00FD3A4E" w:rsidP="00795848">
      <w:pPr>
        <w:spacing w:line="360" w:lineRule="auto"/>
        <w:ind w:left="709" w:firstLine="709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b/>
        </w:rPr>
        <w:t>DECRETA</w:t>
      </w:r>
      <w:r w:rsidR="00D23D9F" w:rsidRPr="00795848">
        <w:rPr>
          <w:rFonts w:asciiTheme="minorHAnsi" w:hAnsiTheme="minorHAnsi" w:cstheme="minorHAnsi"/>
        </w:rPr>
        <w:t>:</w:t>
      </w:r>
    </w:p>
    <w:p w14:paraId="3FB2591D" w14:textId="77777777" w:rsidR="00D23D9F" w:rsidRPr="00795848" w:rsidRDefault="00D23D9F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38118FEB" w14:textId="77777777" w:rsidR="00374E99" w:rsidRPr="00795848" w:rsidRDefault="00374E99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CAF0CF" w14:textId="77777777" w:rsidR="00FD3A4E" w:rsidRPr="00795848" w:rsidRDefault="00D21E0F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5848">
        <w:rPr>
          <w:rFonts w:asciiTheme="minorHAnsi" w:hAnsiTheme="minorHAnsi" w:cstheme="minorHAnsi"/>
          <w:b/>
        </w:rPr>
        <w:t>CAPÍTULO I</w:t>
      </w:r>
    </w:p>
    <w:p w14:paraId="4884DEC9" w14:textId="77777777" w:rsidR="00D21E0F" w:rsidRPr="00795848" w:rsidRDefault="00D21E0F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5848">
        <w:rPr>
          <w:rFonts w:asciiTheme="minorHAnsi" w:hAnsiTheme="minorHAnsi" w:cstheme="minorHAnsi"/>
          <w:b/>
        </w:rPr>
        <w:t>DOS HONORÁRIOS ADVOCATÍCIOS SUCUMBENCIAIS</w:t>
      </w:r>
    </w:p>
    <w:p w14:paraId="2C639798" w14:textId="77777777" w:rsidR="00D21E0F" w:rsidRPr="00795848" w:rsidRDefault="00D21E0F" w:rsidP="00795848">
      <w:pPr>
        <w:spacing w:line="360" w:lineRule="auto"/>
        <w:jc w:val="both"/>
        <w:rPr>
          <w:rFonts w:asciiTheme="minorHAnsi" w:hAnsiTheme="minorHAnsi" w:cstheme="minorHAnsi"/>
        </w:rPr>
      </w:pPr>
    </w:p>
    <w:p w14:paraId="03BB5C24" w14:textId="77777777" w:rsidR="00DB3E48" w:rsidRPr="00795848" w:rsidRDefault="00D23D9F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Art. 1</w:t>
      </w:r>
      <w:r w:rsidR="003F7889" w:rsidRPr="00795848">
        <w:rPr>
          <w:rFonts w:asciiTheme="minorHAnsi" w:hAnsiTheme="minorHAnsi" w:cstheme="minorHAnsi"/>
        </w:rPr>
        <w:t>º</w:t>
      </w:r>
      <w:r w:rsidRPr="00795848">
        <w:rPr>
          <w:rFonts w:asciiTheme="minorHAnsi" w:hAnsiTheme="minorHAnsi" w:cstheme="minorHAnsi"/>
        </w:rPr>
        <w:t xml:space="preserve"> </w:t>
      </w:r>
      <w:r w:rsidR="00627B5E" w:rsidRPr="00795848">
        <w:rPr>
          <w:rFonts w:asciiTheme="minorHAnsi" w:hAnsiTheme="minorHAnsi" w:cstheme="minorHAnsi"/>
        </w:rPr>
        <w:t xml:space="preserve">Fica </w:t>
      </w:r>
      <w:r w:rsidR="00914FCE" w:rsidRPr="00795848">
        <w:rPr>
          <w:rFonts w:asciiTheme="minorHAnsi" w:hAnsiTheme="minorHAnsi" w:cstheme="minorHAnsi"/>
        </w:rPr>
        <w:t>regulament</w:t>
      </w:r>
      <w:r w:rsidR="00614583" w:rsidRPr="00795848">
        <w:rPr>
          <w:rFonts w:asciiTheme="minorHAnsi" w:hAnsiTheme="minorHAnsi" w:cstheme="minorHAnsi"/>
        </w:rPr>
        <w:t>ad</w:t>
      </w:r>
      <w:r w:rsidR="00914FCE" w:rsidRPr="00795848">
        <w:rPr>
          <w:rFonts w:asciiTheme="minorHAnsi" w:hAnsiTheme="minorHAnsi" w:cstheme="minorHAnsi"/>
        </w:rPr>
        <w:t xml:space="preserve">o o pagamento de honorários advocatícios sucumbenciais, nos termos deste Decreto, </w:t>
      </w:r>
      <w:r w:rsidR="00DB3E48" w:rsidRPr="00795848">
        <w:rPr>
          <w:rFonts w:asciiTheme="minorHAnsi" w:hAnsiTheme="minorHAnsi" w:cstheme="minorHAnsi"/>
        </w:rPr>
        <w:t xml:space="preserve">por rateio, </w:t>
      </w:r>
      <w:r w:rsidR="00614583" w:rsidRPr="00795848">
        <w:rPr>
          <w:rFonts w:asciiTheme="minorHAnsi" w:hAnsiTheme="minorHAnsi" w:cstheme="minorHAnsi"/>
        </w:rPr>
        <w:t xml:space="preserve">nos processos </w:t>
      </w:r>
      <w:r w:rsidR="00DB3E48" w:rsidRPr="00795848">
        <w:rPr>
          <w:rFonts w:asciiTheme="minorHAnsi" w:hAnsiTheme="minorHAnsi" w:cstheme="minorHAnsi"/>
        </w:rPr>
        <w:t>em que a Administração pública direta, indireta e fundacional do Município for parte.</w:t>
      </w:r>
    </w:p>
    <w:p w14:paraId="45CA9437" w14:textId="77777777" w:rsidR="001E4B07" w:rsidRPr="00795848" w:rsidRDefault="001E4B07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7A4D23C" w14:textId="77777777" w:rsidR="00614583" w:rsidRPr="00795848" w:rsidRDefault="0061458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§1° Os valores correlatos a honorários sucumbenciais deverão ser depositados na conta já criada para esse</w:t>
      </w:r>
      <w:r w:rsidR="00374E99" w:rsidRPr="00795848">
        <w:rPr>
          <w:rFonts w:asciiTheme="minorHAnsi" w:hAnsiTheme="minorHAnsi" w:cstheme="minorHAnsi"/>
        </w:rPr>
        <w:t xml:space="preserve"> fim, qual seja, Banco do Brasil, </w:t>
      </w:r>
      <w:r w:rsidRPr="00795848">
        <w:rPr>
          <w:rFonts w:asciiTheme="minorHAnsi" w:hAnsiTheme="minorHAnsi" w:cstheme="minorHAnsi"/>
        </w:rPr>
        <w:t>Ag. 685-8, CC 205436-1.</w:t>
      </w:r>
    </w:p>
    <w:p w14:paraId="5921E983" w14:textId="77777777" w:rsidR="00614583" w:rsidRPr="00795848" w:rsidRDefault="0061458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lastRenderedPageBreak/>
        <w:t xml:space="preserve">§2° Deverá, ainda, ser criada conta específica destinada ao aparelhamento do Órgão de Assessoria Jurídica no Município, a qual será utilizada para </w:t>
      </w:r>
      <w:r w:rsidR="00374E99" w:rsidRPr="00795848">
        <w:rPr>
          <w:rFonts w:asciiTheme="minorHAnsi" w:hAnsiTheme="minorHAnsi" w:cstheme="minorHAnsi"/>
        </w:rPr>
        <w:t>os seguintes fins:</w:t>
      </w:r>
    </w:p>
    <w:p w14:paraId="05083CC1" w14:textId="77777777" w:rsidR="00374E99" w:rsidRPr="00795848" w:rsidRDefault="00374E99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I - informatização, equipamentos, instalações, biblioteca e reaparelhamento da Assessoria Jurídica do Município;</w:t>
      </w:r>
    </w:p>
    <w:p w14:paraId="280F7CC0" w14:textId="77777777" w:rsidR="00374E99" w:rsidRPr="00795848" w:rsidRDefault="00374E99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II - custeio de suas atividades de pesquisa, estudos jurídicos e intercomunicação com órgãos e entidades públicas especializadas em Direito Administrativo, Tributário, Previdenciário, Trabalhista e Constitucional; </w:t>
      </w:r>
    </w:p>
    <w:p w14:paraId="753193E9" w14:textId="77777777" w:rsidR="00374E99" w:rsidRPr="00795848" w:rsidRDefault="00374E99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III - assinatura e aquisição de jornais, revistas, livros, vídeos e documentários de interesse jurídico do órgão;</w:t>
      </w:r>
    </w:p>
    <w:p w14:paraId="0A043A66" w14:textId="77777777" w:rsidR="00374E99" w:rsidRPr="00795848" w:rsidRDefault="00374E99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5F410C22" w14:textId="77777777" w:rsidR="00374E99" w:rsidRPr="00795848" w:rsidRDefault="00374E99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5D7B4D37" w14:textId="77777777" w:rsidR="003D6CCF" w:rsidRPr="00795848" w:rsidRDefault="003D6CCF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§3º As demandas relativas ao aparelhamento serão de iniciativa conjunta dos assessores jurídicos em exercício, os quais deverão formalizá-las por escrito à Secretaria Municipal de Administração e Finanças, para que está verifique a disponibilidade orçamentária e demais encaminhamentos para formalização da contratação.</w:t>
      </w:r>
    </w:p>
    <w:p w14:paraId="5E4E2127" w14:textId="77777777" w:rsidR="003D6CCF" w:rsidRPr="00795848" w:rsidRDefault="003D6CCF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765ABDC4" w14:textId="77777777" w:rsidR="00800023" w:rsidRPr="00795848" w:rsidRDefault="00DB3E48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Art. 2</w:t>
      </w:r>
      <w:r w:rsidR="003F7889" w:rsidRPr="00795848">
        <w:rPr>
          <w:rFonts w:asciiTheme="minorHAnsi" w:hAnsiTheme="minorHAnsi" w:cstheme="minorHAnsi"/>
        </w:rPr>
        <w:t>º</w:t>
      </w:r>
      <w:r w:rsidRPr="00795848">
        <w:rPr>
          <w:rFonts w:asciiTheme="minorHAnsi" w:hAnsiTheme="minorHAnsi" w:cstheme="minorHAnsi"/>
        </w:rPr>
        <w:t xml:space="preserve"> </w:t>
      </w:r>
      <w:r w:rsidR="00800023" w:rsidRPr="00795848">
        <w:rPr>
          <w:rFonts w:asciiTheme="minorHAnsi" w:hAnsiTheme="minorHAnsi" w:cstheme="minorHAnsi"/>
        </w:rPr>
        <w:t xml:space="preserve">São </w:t>
      </w:r>
      <w:r w:rsidRPr="00795848">
        <w:rPr>
          <w:rFonts w:asciiTheme="minorHAnsi" w:hAnsiTheme="minorHAnsi" w:cstheme="minorHAnsi"/>
        </w:rPr>
        <w:t>honorários advocatícios</w:t>
      </w:r>
      <w:r w:rsidR="00800023" w:rsidRPr="00795848">
        <w:rPr>
          <w:rFonts w:asciiTheme="minorHAnsi" w:hAnsiTheme="minorHAnsi" w:cstheme="minorHAnsi"/>
        </w:rPr>
        <w:t xml:space="preserve"> sucumbenciais:</w:t>
      </w:r>
    </w:p>
    <w:p w14:paraId="122EF7ED" w14:textId="77777777" w:rsidR="00800023" w:rsidRPr="00795848" w:rsidRDefault="0080002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I – aqueles </w:t>
      </w:r>
      <w:r w:rsidR="00DB3E48" w:rsidRPr="00795848">
        <w:rPr>
          <w:rFonts w:asciiTheme="minorHAnsi" w:hAnsiTheme="minorHAnsi" w:cstheme="minorHAnsi"/>
        </w:rPr>
        <w:t>fixados judicialmente, por acordo ou arbitramento, pagos nos próprios autos</w:t>
      </w:r>
      <w:r w:rsidRPr="00795848">
        <w:rPr>
          <w:rFonts w:asciiTheme="minorHAnsi" w:hAnsiTheme="minorHAnsi" w:cstheme="minorHAnsi"/>
        </w:rPr>
        <w:t>;</w:t>
      </w:r>
    </w:p>
    <w:p w14:paraId="2EE9EBFB" w14:textId="77777777" w:rsidR="00800023" w:rsidRPr="00795848" w:rsidRDefault="0080002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II - </w:t>
      </w:r>
      <w:proofErr w:type="gramStart"/>
      <w:r w:rsidRPr="00795848">
        <w:rPr>
          <w:rFonts w:asciiTheme="minorHAnsi" w:hAnsiTheme="minorHAnsi" w:cstheme="minorHAnsi"/>
        </w:rPr>
        <w:t>aqueles</w:t>
      </w:r>
      <w:proofErr w:type="gramEnd"/>
      <w:r w:rsidR="00DB3E48" w:rsidRPr="00795848">
        <w:rPr>
          <w:rFonts w:asciiTheme="minorHAnsi" w:hAnsiTheme="minorHAnsi" w:cstheme="minorHAnsi"/>
        </w:rPr>
        <w:t xml:space="preserve"> objeto de </w:t>
      </w:r>
      <w:r w:rsidRPr="00795848">
        <w:rPr>
          <w:rFonts w:asciiTheme="minorHAnsi" w:hAnsiTheme="minorHAnsi" w:cstheme="minorHAnsi"/>
        </w:rPr>
        <w:t xml:space="preserve">negociação ou </w:t>
      </w:r>
      <w:r w:rsidR="00DB3E48" w:rsidRPr="00795848">
        <w:rPr>
          <w:rFonts w:asciiTheme="minorHAnsi" w:hAnsiTheme="minorHAnsi" w:cstheme="minorHAnsi"/>
        </w:rPr>
        <w:t xml:space="preserve">renegociação, diretamente pela </w:t>
      </w:r>
      <w:r w:rsidR="00614583" w:rsidRPr="00795848">
        <w:rPr>
          <w:rFonts w:asciiTheme="minorHAnsi" w:hAnsiTheme="minorHAnsi" w:cstheme="minorHAnsi"/>
        </w:rPr>
        <w:t>Assessoria Jurídica do Município</w:t>
      </w:r>
      <w:r w:rsidRPr="00795848">
        <w:rPr>
          <w:rFonts w:asciiTheme="minorHAnsi" w:hAnsiTheme="minorHAnsi" w:cstheme="minorHAnsi"/>
        </w:rPr>
        <w:t>;</w:t>
      </w:r>
      <w:r w:rsidR="00DB3E48" w:rsidRPr="00795848">
        <w:rPr>
          <w:rFonts w:asciiTheme="minorHAnsi" w:hAnsiTheme="minorHAnsi" w:cstheme="minorHAnsi"/>
        </w:rPr>
        <w:t xml:space="preserve"> </w:t>
      </w:r>
    </w:p>
    <w:p w14:paraId="5F0ECE74" w14:textId="77777777" w:rsidR="00DB3E48" w:rsidRPr="00795848" w:rsidRDefault="0080002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III – aqueles provenientes </w:t>
      </w:r>
      <w:r w:rsidR="00DB3E48" w:rsidRPr="00795848">
        <w:rPr>
          <w:rFonts w:asciiTheme="minorHAnsi" w:hAnsiTheme="minorHAnsi" w:cstheme="minorHAnsi"/>
        </w:rPr>
        <w:t>de campanhas de parcelamento de créditos tributários e não tributários, que ocorrerem me</w:t>
      </w:r>
      <w:r w:rsidR="00EA69C4" w:rsidRPr="00795848">
        <w:rPr>
          <w:rFonts w:asciiTheme="minorHAnsi" w:hAnsiTheme="minorHAnsi" w:cstheme="minorHAnsi"/>
        </w:rPr>
        <w:t>diante edição de lei específica</w:t>
      </w:r>
      <w:r w:rsidR="00D23D9F" w:rsidRPr="00795848">
        <w:rPr>
          <w:rFonts w:asciiTheme="minorHAnsi" w:hAnsiTheme="minorHAnsi" w:cstheme="minorHAnsi"/>
        </w:rPr>
        <w:t>.</w:t>
      </w:r>
    </w:p>
    <w:p w14:paraId="561322EA" w14:textId="77777777" w:rsidR="00A2282D" w:rsidRPr="00795848" w:rsidRDefault="0061458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lastRenderedPageBreak/>
        <w:t>Parágrafo único.</w:t>
      </w:r>
      <w:r w:rsidR="00A2282D" w:rsidRPr="00795848">
        <w:rPr>
          <w:rFonts w:asciiTheme="minorHAnsi" w:hAnsiTheme="minorHAnsi" w:cstheme="minorHAnsi"/>
        </w:rPr>
        <w:t xml:space="preserve"> 1º A ocorrência de compensação, transação, parcelamento e dação em pagamento, ainda que em âmbito administrativo, não afasta a obrigação do pagamento dos honorários advocatícios sucumbenciais.</w:t>
      </w:r>
    </w:p>
    <w:p w14:paraId="372F3EA1" w14:textId="77777777" w:rsidR="00A2282D" w:rsidRPr="00795848" w:rsidRDefault="00A2282D" w:rsidP="00795848">
      <w:pPr>
        <w:spacing w:line="360" w:lineRule="auto"/>
        <w:ind w:firstLine="1418"/>
        <w:jc w:val="both"/>
        <w:rPr>
          <w:rFonts w:asciiTheme="minorHAnsi" w:hAnsiTheme="minorHAnsi" w:cstheme="minorHAnsi"/>
          <w:sz w:val="20"/>
        </w:rPr>
      </w:pPr>
    </w:p>
    <w:p w14:paraId="2A82753D" w14:textId="77777777" w:rsidR="00387214" w:rsidRPr="00795848" w:rsidRDefault="00D21E0F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5848">
        <w:rPr>
          <w:rFonts w:asciiTheme="minorHAnsi" w:hAnsiTheme="minorHAnsi" w:cstheme="minorHAnsi"/>
          <w:b/>
        </w:rPr>
        <w:t>CAPÍTULO II</w:t>
      </w:r>
    </w:p>
    <w:p w14:paraId="69D87B53" w14:textId="77777777" w:rsidR="00D21E0F" w:rsidRPr="00795848" w:rsidRDefault="00D21E0F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5848">
        <w:rPr>
          <w:rFonts w:asciiTheme="minorHAnsi" w:hAnsiTheme="minorHAnsi" w:cstheme="minorHAnsi"/>
          <w:b/>
        </w:rPr>
        <w:t>DO RATEIO</w:t>
      </w:r>
      <w:r w:rsidR="00C42BA4" w:rsidRPr="00795848">
        <w:rPr>
          <w:rFonts w:asciiTheme="minorHAnsi" w:hAnsiTheme="minorHAnsi" w:cstheme="minorHAnsi"/>
          <w:b/>
        </w:rPr>
        <w:t xml:space="preserve"> E PAGAMENTO</w:t>
      </w:r>
    </w:p>
    <w:p w14:paraId="31001B03" w14:textId="77777777" w:rsidR="00C42BA4" w:rsidRPr="00795848" w:rsidRDefault="00C42BA4" w:rsidP="00795848">
      <w:pPr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</w:p>
    <w:p w14:paraId="6C18FF3B" w14:textId="77777777" w:rsidR="00387214" w:rsidRPr="00795848" w:rsidRDefault="0038721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Art. 3º Os valores relativos aos honorários advocatícios sucumbenciais </w:t>
      </w:r>
      <w:r w:rsidR="00374E99" w:rsidRPr="00795848">
        <w:rPr>
          <w:rFonts w:asciiTheme="minorHAnsi" w:hAnsiTheme="minorHAnsi" w:cstheme="minorHAnsi"/>
        </w:rPr>
        <w:t xml:space="preserve">depositados em processos judiciais </w:t>
      </w:r>
      <w:r w:rsidRPr="00795848">
        <w:rPr>
          <w:rFonts w:asciiTheme="minorHAnsi" w:hAnsiTheme="minorHAnsi" w:cstheme="minorHAnsi"/>
        </w:rPr>
        <w:t>serão l</w:t>
      </w:r>
      <w:r w:rsidR="00614583" w:rsidRPr="00795848">
        <w:rPr>
          <w:rFonts w:asciiTheme="minorHAnsi" w:hAnsiTheme="minorHAnsi" w:cstheme="minorHAnsi"/>
        </w:rPr>
        <w:t>evantados pela</w:t>
      </w:r>
      <w:r w:rsidRPr="00795848">
        <w:rPr>
          <w:rFonts w:asciiTheme="minorHAnsi" w:hAnsiTheme="minorHAnsi" w:cstheme="minorHAnsi"/>
        </w:rPr>
        <w:t xml:space="preserve"> </w:t>
      </w:r>
      <w:r w:rsidR="00614583" w:rsidRPr="00795848">
        <w:rPr>
          <w:rFonts w:asciiTheme="minorHAnsi" w:hAnsiTheme="minorHAnsi" w:cstheme="minorHAnsi"/>
        </w:rPr>
        <w:t xml:space="preserve">assessoria jurídica do </w:t>
      </w:r>
      <w:r w:rsidR="00374E99" w:rsidRPr="00795848">
        <w:rPr>
          <w:rFonts w:asciiTheme="minorHAnsi" w:hAnsiTheme="minorHAnsi" w:cstheme="minorHAnsi"/>
        </w:rPr>
        <w:t xml:space="preserve">Município </w:t>
      </w:r>
      <w:r w:rsidRPr="00795848">
        <w:rPr>
          <w:rFonts w:asciiTheme="minorHAnsi" w:hAnsiTheme="minorHAnsi" w:cstheme="minorHAnsi"/>
        </w:rPr>
        <w:t>e transferido</w:t>
      </w:r>
      <w:r w:rsidR="00374E99" w:rsidRPr="00795848">
        <w:rPr>
          <w:rFonts w:asciiTheme="minorHAnsi" w:hAnsiTheme="minorHAnsi" w:cstheme="minorHAnsi"/>
        </w:rPr>
        <w:t>s</w:t>
      </w:r>
      <w:r w:rsidRPr="00795848">
        <w:rPr>
          <w:rFonts w:asciiTheme="minorHAnsi" w:hAnsiTheme="minorHAnsi" w:cstheme="minorHAnsi"/>
        </w:rPr>
        <w:t xml:space="preserve"> </w:t>
      </w:r>
      <w:r w:rsidR="00374E99" w:rsidRPr="00795848">
        <w:rPr>
          <w:rFonts w:asciiTheme="minorHAnsi" w:hAnsiTheme="minorHAnsi" w:cstheme="minorHAnsi"/>
        </w:rPr>
        <w:t>para a conta bancária especificada no §1º do, art. 1°, desta lei, mediante alvará apartado.</w:t>
      </w:r>
    </w:p>
    <w:p w14:paraId="16045CAB" w14:textId="77777777" w:rsidR="00387214" w:rsidRPr="00795848" w:rsidRDefault="00374E99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Parágrafo Único.</w:t>
      </w:r>
      <w:r w:rsidR="00387214" w:rsidRPr="00795848">
        <w:rPr>
          <w:rFonts w:asciiTheme="minorHAnsi" w:hAnsiTheme="minorHAnsi" w:cstheme="minorHAnsi"/>
        </w:rPr>
        <w:t xml:space="preserve"> Nos processos em que o alvará for expedido de forma automatizada na conta do Município de </w:t>
      </w:r>
      <w:r w:rsidRPr="00795848">
        <w:rPr>
          <w:rFonts w:asciiTheme="minorHAnsi" w:hAnsiTheme="minorHAnsi" w:cstheme="minorHAnsi"/>
        </w:rPr>
        <w:t>Vargem</w:t>
      </w:r>
      <w:r w:rsidR="00387214" w:rsidRPr="00795848">
        <w:rPr>
          <w:rFonts w:asciiTheme="minorHAnsi" w:hAnsiTheme="minorHAnsi" w:cstheme="minorHAnsi"/>
        </w:rPr>
        <w:t xml:space="preserve">, assim como nos casos em que houver pagamento administrativo, a Secretaria Municipal de </w:t>
      </w:r>
      <w:r w:rsidRPr="00795848">
        <w:rPr>
          <w:rFonts w:asciiTheme="minorHAnsi" w:hAnsiTheme="minorHAnsi" w:cstheme="minorHAnsi"/>
        </w:rPr>
        <w:t>A</w:t>
      </w:r>
      <w:r w:rsidR="00387214" w:rsidRPr="00795848">
        <w:rPr>
          <w:rFonts w:asciiTheme="minorHAnsi" w:hAnsiTheme="minorHAnsi" w:cstheme="minorHAnsi"/>
        </w:rPr>
        <w:t xml:space="preserve">dministração e Finanças deverá proceder a imediata transferência dos valores relativos aos honorários advocatícios sucumbenciais para a conta específica.   </w:t>
      </w:r>
    </w:p>
    <w:p w14:paraId="4063C4B1" w14:textId="77777777" w:rsidR="00DB3E48" w:rsidRPr="00795848" w:rsidRDefault="00DB3E48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4E7D9976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Art. 4º A destinação da receita relativa aos honorários sucumbenciais dar-se-á da seguinte maneira:</w:t>
      </w:r>
    </w:p>
    <w:p w14:paraId="43751191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7D2FCF60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I – </w:t>
      </w:r>
      <w:proofErr w:type="gramStart"/>
      <w:r w:rsidRPr="00795848">
        <w:rPr>
          <w:rFonts w:asciiTheme="minorHAnsi" w:hAnsiTheme="minorHAnsi" w:cstheme="minorHAnsi"/>
        </w:rPr>
        <w:t>oitenta</w:t>
      </w:r>
      <w:proofErr w:type="gramEnd"/>
      <w:r w:rsidRPr="00795848">
        <w:rPr>
          <w:rFonts w:asciiTheme="minorHAnsi" w:hAnsiTheme="minorHAnsi" w:cstheme="minorHAnsi"/>
        </w:rPr>
        <w:t xml:space="preserve"> por cento aos Assessores Jurídicos em atividade, por rateio mensal equitativo;</w:t>
      </w:r>
    </w:p>
    <w:p w14:paraId="2E337EB3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890775E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II – vinte por cento deverá ser depositado na conta bancária referida no §2º, do art. 1º, desta lei.</w:t>
      </w:r>
    </w:p>
    <w:p w14:paraId="162F749F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lastRenderedPageBreak/>
        <w:t>§ 1º As receitas decorrentes dos honorários sucumbenciais não poderão ser revertidas, a qualquer título, ao Tesouro Municipal, mesmo depois de findado o exercício financeiro; serão consideradas saldo para os exercícios subsequentes.</w:t>
      </w:r>
    </w:p>
    <w:p w14:paraId="3599B61A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64EBE214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§ 2º Ficam os recursos decorrentes dos honorários sucumbenciais vinculados às finalidades específicas deste Decreto e da legislação em referência, devendo ser utilizados exclusivamente para atender ao objeto de sua vinculação, ainda que em exercício diverso daquele em que ocorrer o ingresso.</w:t>
      </w:r>
    </w:p>
    <w:p w14:paraId="484D02EA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4D75A931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§3° Os valores existentes na conta ban</w:t>
      </w:r>
      <w:r w:rsidR="001E4B07" w:rsidRPr="00795848">
        <w:rPr>
          <w:rFonts w:asciiTheme="minorHAnsi" w:hAnsiTheme="minorHAnsi" w:cstheme="minorHAnsi"/>
        </w:rPr>
        <w:t>cária citada (§1º, do art. 1º)</w:t>
      </w:r>
      <w:r w:rsidRPr="00795848">
        <w:rPr>
          <w:rFonts w:asciiTheme="minorHAnsi" w:hAnsiTheme="minorHAnsi" w:cstheme="minorHAnsi"/>
        </w:rPr>
        <w:t xml:space="preserve"> qua</w:t>
      </w:r>
      <w:r w:rsidR="001E4B07" w:rsidRPr="00795848">
        <w:rPr>
          <w:rFonts w:asciiTheme="minorHAnsi" w:hAnsiTheme="minorHAnsi" w:cstheme="minorHAnsi"/>
        </w:rPr>
        <w:t>ndo da publicação deste decreto</w:t>
      </w:r>
      <w:r w:rsidRPr="00795848">
        <w:rPr>
          <w:rFonts w:asciiTheme="minorHAnsi" w:hAnsiTheme="minorHAnsi" w:cstheme="minorHAnsi"/>
        </w:rPr>
        <w:t xml:space="preserve"> deverão </w:t>
      </w:r>
      <w:r w:rsidR="00B82990" w:rsidRPr="00795848">
        <w:rPr>
          <w:rFonts w:asciiTheme="minorHAnsi" w:hAnsiTheme="minorHAnsi" w:cstheme="minorHAnsi"/>
        </w:rPr>
        <w:t xml:space="preserve">ser destinados conforme </w:t>
      </w:r>
      <w:r w:rsidR="00A63CAF" w:rsidRPr="00795848">
        <w:rPr>
          <w:rFonts w:asciiTheme="minorHAnsi" w:hAnsiTheme="minorHAnsi" w:cstheme="minorHAnsi"/>
        </w:rPr>
        <w:t>previsto no art. 1º, ou seja, 20% destinados à conta de aparelhamento da Assessoria Jurídica (§2º, art. 1º), e o restante, 80%, mantidos na conta de rateio</w:t>
      </w:r>
      <w:r w:rsidR="006F2417" w:rsidRPr="00795848">
        <w:rPr>
          <w:rFonts w:asciiTheme="minorHAnsi" w:hAnsiTheme="minorHAnsi" w:cstheme="minorHAnsi"/>
        </w:rPr>
        <w:t>.</w:t>
      </w:r>
    </w:p>
    <w:p w14:paraId="35E8A301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38C22DE9" w14:textId="77777777" w:rsidR="00D7495A" w:rsidRPr="00795848" w:rsidRDefault="00B82990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Art. 5</w:t>
      </w:r>
      <w:r w:rsidR="00D7495A" w:rsidRPr="00795848">
        <w:rPr>
          <w:rFonts w:asciiTheme="minorHAnsi" w:hAnsiTheme="minorHAnsi" w:cstheme="minorHAnsi"/>
        </w:rPr>
        <w:t>º O Rateio dos valores será sempre executado de forma igualitária entre os Assessores Jurídicos do Município de Vargem, até o último dia útil de cada mês, sem prejuízo de suas remunerações.</w:t>
      </w:r>
    </w:p>
    <w:p w14:paraId="0C68279A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§ 1º Os valores recebidos pelos Assessores Jurídicos a título de honorários advocatícios sucumbenciais não se incorporam aos vencimentos dos cargos para qualquer efeito.</w:t>
      </w:r>
    </w:p>
    <w:p w14:paraId="12C3FE43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§ 2º O pagamento dos honorários de sucumbência a cada assessor jurídico obedecerá ao teto mensal de R$ </w:t>
      </w:r>
      <w:r w:rsidR="006F2417" w:rsidRPr="00795848">
        <w:rPr>
          <w:rFonts w:asciiTheme="minorHAnsi" w:hAnsiTheme="minorHAnsi" w:cstheme="minorHAnsi"/>
        </w:rPr>
        <w:t>2</w:t>
      </w:r>
      <w:r w:rsidRPr="00795848">
        <w:rPr>
          <w:rFonts w:asciiTheme="minorHAnsi" w:hAnsiTheme="minorHAnsi" w:cstheme="minorHAnsi"/>
        </w:rPr>
        <w:t>.000,00 (</w:t>
      </w:r>
      <w:r w:rsidR="006F2417" w:rsidRPr="00795848">
        <w:rPr>
          <w:rFonts w:asciiTheme="minorHAnsi" w:hAnsiTheme="minorHAnsi" w:cstheme="minorHAnsi"/>
        </w:rPr>
        <w:t xml:space="preserve">dois </w:t>
      </w:r>
      <w:r w:rsidRPr="00795848">
        <w:rPr>
          <w:rFonts w:asciiTheme="minorHAnsi" w:hAnsiTheme="minorHAnsi" w:cstheme="minorHAnsi"/>
        </w:rPr>
        <w:t>mil reais), reajustáveis anualmente pelo IGP-M, observando-se, porém, o limite remuneratório previsto no artigo 37, XI, da Constituição Federal.</w:t>
      </w:r>
    </w:p>
    <w:p w14:paraId="03FE167A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lastRenderedPageBreak/>
        <w:t>§ 3º Os valores excedentes, quanto à percepção mensal das receitas, serão mantidos na conta específica e os saldos acumulados, serão destinados nos meses subsequentes para rateio.</w:t>
      </w:r>
    </w:p>
    <w:p w14:paraId="45B0FA65" w14:textId="77777777" w:rsidR="00D7495A" w:rsidRPr="00795848" w:rsidRDefault="00D7495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3182D7BF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Art. </w:t>
      </w:r>
      <w:r w:rsidR="00B82990" w:rsidRPr="00795848">
        <w:rPr>
          <w:rFonts w:asciiTheme="minorHAnsi" w:hAnsiTheme="minorHAnsi" w:cstheme="minorHAnsi"/>
        </w:rPr>
        <w:t>6</w:t>
      </w:r>
      <w:r w:rsidRPr="00795848">
        <w:rPr>
          <w:rFonts w:asciiTheme="minorHAnsi" w:hAnsiTheme="minorHAnsi" w:cstheme="minorHAnsi"/>
        </w:rPr>
        <w:t>º Estão suspensos do rateio de honorários os beneficiários que se encontrarem nas seguintes condições:</w:t>
      </w:r>
    </w:p>
    <w:p w14:paraId="039B992D" w14:textId="77777777" w:rsidR="00EF39AA" w:rsidRPr="00795848" w:rsidRDefault="00EF39A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34FFE36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I – em licença para tratar de interesses particulares;</w:t>
      </w:r>
    </w:p>
    <w:p w14:paraId="2ED80D33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II – em licença para atividade política;</w:t>
      </w:r>
    </w:p>
    <w:p w14:paraId="317F1E1E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III – no exercício de mandato eletivo;</w:t>
      </w:r>
    </w:p>
    <w:p w14:paraId="74B34567" w14:textId="77777777" w:rsidR="003F7889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IV - </w:t>
      </w:r>
      <w:r w:rsidR="0063322F" w:rsidRPr="00795848">
        <w:rPr>
          <w:rFonts w:asciiTheme="minorHAnsi" w:hAnsiTheme="minorHAnsi" w:cstheme="minorHAnsi"/>
        </w:rPr>
        <w:t xml:space="preserve"> </w:t>
      </w:r>
      <w:r w:rsidR="003F7889" w:rsidRPr="00795848">
        <w:rPr>
          <w:rFonts w:asciiTheme="minorHAnsi" w:hAnsiTheme="minorHAnsi" w:cstheme="minorHAnsi"/>
        </w:rPr>
        <w:t xml:space="preserve"> </w:t>
      </w:r>
      <w:r w:rsidRPr="00795848">
        <w:rPr>
          <w:rFonts w:asciiTheme="minorHAnsi" w:hAnsiTheme="minorHAnsi" w:cstheme="minorHAnsi"/>
        </w:rPr>
        <w:t>suspenso em cumprimento de penalidade disciplinar;</w:t>
      </w:r>
    </w:p>
    <w:p w14:paraId="1C7A7ED3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V – em inatividade.</w:t>
      </w:r>
    </w:p>
    <w:p w14:paraId="2260289D" w14:textId="77777777" w:rsidR="00EF39AA" w:rsidRPr="00795848" w:rsidRDefault="00EF39AA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5E02DF35" w14:textId="77777777" w:rsidR="003602F3" w:rsidRPr="00795848" w:rsidRDefault="003602F3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>Parágrafo único. Compete ao Departamento de Recursos Humanos comunicar a ocorrência dos afastamentos de que trata este artigo, indicando o início do afastamento e de retorno às atividade.</w:t>
      </w:r>
    </w:p>
    <w:p w14:paraId="2F39DBBB" w14:textId="77777777" w:rsidR="00EA69C4" w:rsidRPr="00795848" w:rsidRDefault="00EA69C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59AF68DA" w14:textId="77777777" w:rsidR="00D21E0F" w:rsidRPr="00795848" w:rsidRDefault="00D21E0F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5848">
        <w:rPr>
          <w:rFonts w:asciiTheme="minorHAnsi" w:hAnsiTheme="minorHAnsi" w:cstheme="minorHAnsi"/>
          <w:b/>
        </w:rPr>
        <w:t>CAPÍTULO III</w:t>
      </w:r>
    </w:p>
    <w:p w14:paraId="39565DD2" w14:textId="77777777" w:rsidR="00C42BA4" w:rsidRPr="00795848" w:rsidRDefault="00C42BA4" w:rsidP="007958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5848">
        <w:rPr>
          <w:rFonts w:asciiTheme="minorHAnsi" w:hAnsiTheme="minorHAnsi" w:cstheme="minorHAnsi"/>
          <w:b/>
        </w:rPr>
        <w:t>DAS DISPOSIÇÕES FINAIS</w:t>
      </w:r>
    </w:p>
    <w:p w14:paraId="415A06F9" w14:textId="77777777" w:rsidR="00C42BA4" w:rsidRPr="00795848" w:rsidRDefault="00C42BA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35CA5573" w14:textId="77777777" w:rsidR="00445BFF" w:rsidRPr="00795848" w:rsidRDefault="00387214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Art. </w:t>
      </w:r>
      <w:r w:rsidR="006F2417" w:rsidRPr="00795848">
        <w:rPr>
          <w:rFonts w:asciiTheme="minorHAnsi" w:hAnsiTheme="minorHAnsi" w:cstheme="minorHAnsi"/>
        </w:rPr>
        <w:t>7º</w:t>
      </w:r>
      <w:r w:rsidR="008C46BB" w:rsidRPr="00795848">
        <w:rPr>
          <w:rFonts w:asciiTheme="minorHAnsi" w:hAnsiTheme="minorHAnsi" w:cstheme="minorHAnsi"/>
        </w:rPr>
        <w:t xml:space="preserve"> </w:t>
      </w:r>
      <w:r w:rsidR="00445BFF" w:rsidRPr="00795848">
        <w:rPr>
          <w:rFonts w:asciiTheme="minorHAnsi" w:hAnsiTheme="minorHAnsi" w:cstheme="minorHAnsi"/>
        </w:rPr>
        <w:t>Os valores recebidos pelo Município, a título de honorários advocatícios sucumbenciais serão registrados em rubrica própria em conformidade com a classificação e codificação da Secretaria do Tesouro Nacional – STN</w:t>
      </w:r>
      <w:r w:rsidR="007E7865" w:rsidRPr="00795848">
        <w:rPr>
          <w:rFonts w:asciiTheme="minorHAnsi" w:hAnsiTheme="minorHAnsi" w:cstheme="minorHAnsi"/>
        </w:rPr>
        <w:t xml:space="preserve"> ou a indicada pelo Tribunal de Contas do Estado de Santa Catarina</w:t>
      </w:r>
      <w:r w:rsidR="00445BFF" w:rsidRPr="00795848">
        <w:rPr>
          <w:rFonts w:asciiTheme="minorHAnsi" w:hAnsiTheme="minorHAnsi" w:cstheme="minorHAnsi"/>
        </w:rPr>
        <w:t>.</w:t>
      </w:r>
    </w:p>
    <w:p w14:paraId="732444B3" w14:textId="77777777" w:rsidR="00EA69C4" w:rsidRPr="00795848" w:rsidRDefault="006F2417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lastRenderedPageBreak/>
        <w:t xml:space="preserve">Art. </w:t>
      </w:r>
      <w:r w:rsidR="00EF39AA" w:rsidRPr="00795848">
        <w:rPr>
          <w:rFonts w:asciiTheme="minorHAnsi" w:hAnsiTheme="minorHAnsi" w:cstheme="minorHAnsi"/>
        </w:rPr>
        <w:t>8</w:t>
      </w:r>
      <w:r w:rsidRPr="00795848">
        <w:rPr>
          <w:rFonts w:asciiTheme="minorHAnsi" w:hAnsiTheme="minorHAnsi" w:cstheme="minorHAnsi"/>
        </w:rPr>
        <w:t>º</w:t>
      </w:r>
      <w:r w:rsidR="00D21E0F" w:rsidRPr="00795848">
        <w:rPr>
          <w:rFonts w:asciiTheme="minorHAnsi" w:hAnsiTheme="minorHAnsi" w:cstheme="minorHAnsi"/>
        </w:rPr>
        <w:t xml:space="preserve">. Os honorários advocatícios sucumbenciais enquadram-se como valores por ingresso extraorçamentário em conta específica de titularidade do Município de </w:t>
      </w:r>
      <w:r w:rsidRPr="00795848">
        <w:rPr>
          <w:rFonts w:asciiTheme="minorHAnsi" w:hAnsiTheme="minorHAnsi" w:cstheme="minorHAnsi"/>
        </w:rPr>
        <w:t>Vargem</w:t>
      </w:r>
      <w:r w:rsidR="00D21E0F" w:rsidRPr="00795848">
        <w:rPr>
          <w:rFonts w:asciiTheme="minorHAnsi" w:hAnsiTheme="minorHAnsi" w:cstheme="minorHAnsi"/>
        </w:rPr>
        <w:t xml:space="preserve">, conforme art. 3º, parágrafo único da Lei Federal nº 4.320/1964. </w:t>
      </w:r>
    </w:p>
    <w:p w14:paraId="516C6D61" w14:textId="77777777" w:rsidR="00FD3A4E" w:rsidRPr="00795848" w:rsidRDefault="00FD3A4E" w:rsidP="007958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47AD00DF" w14:textId="77777777" w:rsidR="00D23D9F" w:rsidRPr="00795848" w:rsidRDefault="00D23D9F" w:rsidP="00795848">
      <w:pPr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Art. </w:t>
      </w:r>
      <w:r w:rsidR="00EF39AA" w:rsidRPr="00795848">
        <w:rPr>
          <w:rFonts w:asciiTheme="minorHAnsi" w:hAnsiTheme="minorHAnsi" w:cstheme="minorHAnsi"/>
        </w:rPr>
        <w:t>9</w:t>
      </w:r>
      <w:r w:rsidRPr="00795848">
        <w:rPr>
          <w:rFonts w:asciiTheme="minorHAnsi" w:hAnsiTheme="minorHAnsi" w:cstheme="minorHAnsi"/>
        </w:rPr>
        <w:t xml:space="preserve"> Este Decreto entra vigor na data de sua publicação.</w:t>
      </w:r>
    </w:p>
    <w:p w14:paraId="530754A9" w14:textId="77777777" w:rsidR="00AA435D" w:rsidRPr="00795848" w:rsidRDefault="00AA435D" w:rsidP="00795848">
      <w:pPr>
        <w:spacing w:line="360" w:lineRule="auto"/>
        <w:ind w:right="-3"/>
        <w:jc w:val="both"/>
        <w:rPr>
          <w:rFonts w:asciiTheme="minorHAnsi" w:hAnsiTheme="minorHAnsi" w:cstheme="minorHAnsi"/>
          <w:shd w:val="clear" w:color="auto" w:fill="FFFFFF"/>
        </w:rPr>
      </w:pPr>
    </w:p>
    <w:p w14:paraId="5B47B594" w14:textId="77777777" w:rsidR="00AA435D" w:rsidRPr="00795848" w:rsidRDefault="006F2417" w:rsidP="00795848">
      <w:pPr>
        <w:spacing w:line="360" w:lineRule="auto"/>
        <w:ind w:right="-3"/>
        <w:jc w:val="both"/>
        <w:rPr>
          <w:rFonts w:asciiTheme="minorHAnsi" w:hAnsiTheme="minorHAnsi" w:cstheme="minorHAnsi"/>
          <w:shd w:val="clear" w:color="auto" w:fill="FFFFFF"/>
        </w:rPr>
      </w:pPr>
      <w:r w:rsidRPr="00795848">
        <w:rPr>
          <w:rFonts w:asciiTheme="minorHAnsi" w:hAnsiTheme="minorHAnsi" w:cstheme="minorHAnsi"/>
          <w:shd w:val="clear" w:color="auto" w:fill="FFFFFF"/>
        </w:rPr>
        <w:tab/>
      </w:r>
      <w:r w:rsidRPr="00795848">
        <w:rPr>
          <w:rFonts w:asciiTheme="minorHAnsi" w:hAnsiTheme="minorHAnsi" w:cstheme="minorHAnsi"/>
          <w:shd w:val="clear" w:color="auto" w:fill="FFFFFF"/>
        </w:rPr>
        <w:tab/>
        <w:t>Vargem</w:t>
      </w:r>
      <w:r w:rsidR="00AA435D" w:rsidRPr="00795848">
        <w:rPr>
          <w:rFonts w:asciiTheme="minorHAnsi" w:hAnsiTheme="minorHAnsi" w:cstheme="minorHAnsi"/>
          <w:shd w:val="clear" w:color="auto" w:fill="FFFFFF"/>
        </w:rPr>
        <w:t xml:space="preserve">, SC, </w:t>
      </w:r>
      <w:r w:rsidR="00EF39AA" w:rsidRPr="00795848">
        <w:rPr>
          <w:rFonts w:asciiTheme="minorHAnsi" w:hAnsiTheme="minorHAnsi" w:cstheme="minorHAnsi"/>
          <w:shd w:val="clear" w:color="auto" w:fill="FFFFFF"/>
        </w:rPr>
        <w:t>08</w:t>
      </w:r>
      <w:r w:rsidRPr="00795848">
        <w:rPr>
          <w:rFonts w:asciiTheme="minorHAnsi" w:hAnsiTheme="minorHAnsi" w:cstheme="minorHAnsi"/>
          <w:shd w:val="clear" w:color="auto" w:fill="FFFFFF"/>
        </w:rPr>
        <w:t xml:space="preserve"> de abril de 2024.</w:t>
      </w:r>
    </w:p>
    <w:p w14:paraId="690DD4F7" w14:textId="77777777" w:rsidR="00AA435D" w:rsidRPr="00795848" w:rsidRDefault="00AA435D" w:rsidP="00795848">
      <w:pPr>
        <w:spacing w:line="360" w:lineRule="auto"/>
        <w:ind w:right="-3"/>
        <w:jc w:val="both"/>
        <w:rPr>
          <w:rFonts w:asciiTheme="minorHAnsi" w:hAnsiTheme="minorHAnsi" w:cstheme="minorHAnsi"/>
          <w:shd w:val="clear" w:color="auto" w:fill="FFFFFF"/>
        </w:rPr>
      </w:pPr>
    </w:p>
    <w:p w14:paraId="52AFFEA4" w14:textId="77777777" w:rsidR="00E62EEC" w:rsidRPr="00795848" w:rsidRDefault="00433822" w:rsidP="00795848">
      <w:pPr>
        <w:spacing w:line="360" w:lineRule="auto"/>
        <w:ind w:right="-3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  <w:shd w:val="clear" w:color="auto" w:fill="FFFFFF"/>
        </w:rPr>
        <w:tab/>
      </w:r>
      <w:r w:rsidRPr="00795848">
        <w:rPr>
          <w:rFonts w:asciiTheme="minorHAnsi" w:hAnsiTheme="minorHAnsi" w:cstheme="minorHAnsi"/>
          <w:shd w:val="clear" w:color="auto" w:fill="FFFFFF"/>
        </w:rPr>
        <w:tab/>
        <w:t xml:space="preserve"> </w:t>
      </w:r>
      <w:r w:rsidR="000C4101" w:rsidRPr="00795848">
        <w:rPr>
          <w:rFonts w:asciiTheme="minorHAnsi" w:hAnsiTheme="minorHAnsi" w:cstheme="minorHAnsi"/>
          <w:shd w:val="clear" w:color="auto" w:fill="FFFFFF"/>
        </w:rPr>
        <w:t xml:space="preserve">    </w:t>
      </w:r>
      <w:r w:rsidR="002833AC" w:rsidRPr="00795848">
        <w:rPr>
          <w:rFonts w:asciiTheme="minorHAnsi" w:hAnsiTheme="minorHAnsi" w:cstheme="minorHAnsi"/>
          <w:shd w:val="clear" w:color="auto" w:fill="FFFFFF"/>
        </w:rPr>
        <w:t xml:space="preserve"> </w:t>
      </w:r>
      <w:r w:rsidR="00984024" w:rsidRPr="00795848">
        <w:rPr>
          <w:rFonts w:asciiTheme="minorHAnsi" w:hAnsiTheme="minorHAnsi" w:cstheme="minorHAnsi"/>
          <w:shd w:val="clear" w:color="auto" w:fill="FFFFFF"/>
        </w:rPr>
        <w:t xml:space="preserve">  </w:t>
      </w:r>
      <w:r w:rsidR="00E62EEC" w:rsidRPr="00795848">
        <w:rPr>
          <w:rFonts w:asciiTheme="minorHAnsi" w:hAnsiTheme="minorHAnsi" w:cstheme="minorHAnsi"/>
        </w:rPr>
        <w:t xml:space="preserve">                                       </w:t>
      </w:r>
    </w:p>
    <w:p w14:paraId="44C8BD88" w14:textId="77777777" w:rsidR="00E62EEC" w:rsidRPr="00795848" w:rsidRDefault="00E62EEC" w:rsidP="00795848">
      <w:pPr>
        <w:spacing w:line="360" w:lineRule="auto"/>
        <w:ind w:right="-3"/>
        <w:jc w:val="both"/>
        <w:rPr>
          <w:rFonts w:asciiTheme="minorHAnsi" w:hAnsiTheme="minorHAnsi" w:cstheme="minorHAnsi"/>
        </w:rPr>
      </w:pPr>
      <w:r w:rsidRPr="00795848">
        <w:rPr>
          <w:rFonts w:asciiTheme="minorHAnsi" w:hAnsiTheme="minorHAnsi" w:cstheme="minorHAnsi"/>
        </w:rPr>
        <w:t xml:space="preserve">                                   </w:t>
      </w:r>
    </w:p>
    <w:p w14:paraId="641BF015" w14:textId="0797EF2E" w:rsidR="00E62EEC" w:rsidRDefault="00E62EEC" w:rsidP="00795848">
      <w:pPr>
        <w:pStyle w:val="Ttulo1"/>
        <w:spacing w:line="360" w:lineRule="auto"/>
        <w:ind w:right="-3"/>
        <w:rPr>
          <w:rFonts w:asciiTheme="minorHAnsi" w:hAnsiTheme="minorHAnsi" w:cstheme="minorHAnsi"/>
          <w:sz w:val="24"/>
          <w:szCs w:val="24"/>
        </w:rPr>
      </w:pPr>
    </w:p>
    <w:p w14:paraId="6ABF6018" w14:textId="77777777" w:rsidR="00795848" w:rsidRPr="00795848" w:rsidRDefault="00795848" w:rsidP="00795848"/>
    <w:p w14:paraId="1ED64221" w14:textId="77777777" w:rsidR="00E62EEC" w:rsidRPr="00795848" w:rsidRDefault="006F2417" w:rsidP="00795848">
      <w:pPr>
        <w:pStyle w:val="Ttulo1"/>
        <w:spacing w:line="360" w:lineRule="auto"/>
        <w:ind w:right="-3"/>
        <w:jc w:val="center"/>
        <w:rPr>
          <w:rFonts w:asciiTheme="minorHAnsi" w:hAnsiTheme="minorHAnsi" w:cstheme="minorHAnsi"/>
          <w:sz w:val="24"/>
          <w:szCs w:val="24"/>
        </w:rPr>
      </w:pPr>
      <w:r w:rsidRPr="00795848">
        <w:rPr>
          <w:rFonts w:asciiTheme="minorHAnsi" w:hAnsiTheme="minorHAnsi" w:cstheme="minorHAnsi"/>
          <w:sz w:val="24"/>
          <w:szCs w:val="24"/>
        </w:rPr>
        <w:t>MILENA ANDERSEN LOPES</w:t>
      </w:r>
    </w:p>
    <w:p w14:paraId="1CB3A011" w14:textId="77777777" w:rsidR="00E62EEC" w:rsidRPr="00795848" w:rsidRDefault="006F2417" w:rsidP="00795848">
      <w:pPr>
        <w:pStyle w:val="Ttulo1"/>
        <w:spacing w:line="360" w:lineRule="auto"/>
        <w:ind w:right="-3"/>
        <w:jc w:val="center"/>
        <w:rPr>
          <w:rFonts w:asciiTheme="minorHAnsi" w:hAnsiTheme="minorHAnsi" w:cstheme="minorHAnsi"/>
          <w:sz w:val="24"/>
          <w:szCs w:val="24"/>
        </w:rPr>
      </w:pPr>
      <w:r w:rsidRPr="00795848">
        <w:rPr>
          <w:rFonts w:asciiTheme="minorHAnsi" w:hAnsiTheme="minorHAnsi" w:cstheme="minorHAnsi"/>
          <w:sz w:val="24"/>
          <w:szCs w:val="24"/>
        </w:rPr>
        <w:t>Prefeita</w:t>
      </w:r>
    </w:p>
    <w:sectPr w:rsidR="00E62EEC" w:rsidRPr="00795848" w:rsidSect="00795848">
      <w:headerReference w:type="default" r:id="rId7"/>
      <w:footerReference w:type="default" r:id="rId8"/>
      <w:pgSz w:w="11905" w:h="16837"/>
      <w:pgMar w:top="2835" w:right="1276" w:bottom="2694" w:left="1701" w:header="39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0580" w14:textId="77777777" w:rsidR="00FC430E" w:rsidRDefault="00FC430E" w:rsidP="00CF4ECC">
      <w:r>
        <w:separator/>
      </w:r>
    </w:p>
  </w:endnote>
  <w:endnote w:type="continuationSeparator" w:id="0">
    <w:p w14:paraId="4D242656" w14:textId="77777777" w:rsidR="00FC430E" w:rsidRDefault="00FC430E" w:rsidP="00C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2F8F" w14:textId="5B443DC8" w:rsidR="00795848" w:rsidRDefault="00795848" w:rsidP="00795848">
    <w:pPr>
      <w:ind w:left="-1701"/>
    </w:pPr>
    <w:r>
      <w:cr/>
    </w:r>
    <w:r>
      <w:rPr>
        <w:noProof/>
      </w:rPr>
      <w:drawing>
        <wp:inline distT="0" distB="0" distL="0" distR="0" wp14:anchorId="640300E3" wp14:editId="2E108C33">
          <wp:extent cx="7876486" cy="1892028"/>
          <wp:effectExtent l="0" t="0" r="0" b="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3942" cy="1898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1423" w14:textId="77777777" w:rsidR="00FC430E" w:rsidRDefault="00FC430E" w:rsidP="00CF4ECC">
      <w:r>
        <w:separator/>
      </w:r>
    </w:p>
  </w:footnote>
  <w:footnote w:type="continuationSeparator" w:id="0">
    <w:p w14:paraId="18868754" w14:textId="77777777" w:rsidR="00FC430E" w:rsidRDefault="00FC430E" w:rsidP="00CF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74" w:type="dxa"/>
      <w:tblLayout w:type="fixed"/>
      <w:tblLook w:val="01E0" w:firstRow="1" w:lastRow="1" w:firstColumn="1" w:lastColumn="1" w:noHBand="0" w:noVBand="0"/>
    </w:tblPr>
    <w:tblGrid>
      <w:gridCol w:w="10065"/>
    </w:tblGrid>
    <w:tr w:rsidR="002D63C9" w14:paraId="1BF06FB2" w14:textId="77777777" w:rsidTr="00CF4ECC">
      <w:trPr>
        <w:trHeight w:val="1417"/>
      </w:trPr>
      <w:tc>
        <w:tcPr>
          <w:tcW w:w="10065" w:type="dxa"/>
        </w:tcPr>
        <w:p w14:paraId="69BD3D95" w14:textId="37F63B4C" w:rsidR="002D63C9" w:rsidRDefault="00795848" w:rsidP="00795848">
          <w:pPr>
            <w:spacing w:line="1" w:lineRule="auto"/>
            <w:ind w:hanging="354"/>
          </w:pPr>
          <w:r>
            <w:rPr>
              <w:noProof/>
            </w:rPr>
            <w:drawing>
              <wp:inline distT="0" distB="0" distL="0" distR="0" wp14:anchorId="7C4D930B" wp14:editId="682BE944">
                <wp:extent cx="6444156" cy="1504950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6173" cy="1505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F86"/>
    <w:multiLevelType w:val="hybridMultilevel"/>
    <w:tmpl w:val="BA4474BA"/>
    <w:lvl w:ilvl="0" w:tplc="A9C205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446701"/>
    <w:multiLevelType w:val="hybridMultilevel"/>
    <w:tmpl w:val="82C2D392"/>
    <w:lvl w:ilvl="0" w:tplc="F3B03B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0341DA"/>
    <w:multiLevelType w:val="hybridMultilevel"/>
    <w:tmpl w:val="57747F32"/>
    <w:lvl w:ilvl="0" w:tplc="9ACAE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8517EB6"/>
    <w:multiLevelType w:val="hybridMultilevel"/>
    <w:tmpl w:val="D5F47F48"/>
    <w:lvl w:ilvl="0" w:tplc="59D0D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E9E3F8E"/>
    <w:multiLevelType w:val="hybridMultilevel"/>
    <w:tmpl w:val="E1E4A97C"/>
    <w:lvl w:ilvl="0" w:tplc="B98CAB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FC86218"/>
    <w:multiLevelType w:val="hybridMultilevel"/>
    <w:tmpl w:val="14BA887E"/>
    <w:lvl w:ilvl="0" w:tplc="A9B2BD4C">
      <w:start w:val="1"/>
      <w:numFmt w:val="upperRoman"/>
      <w:lvlText w:val="%1"/>
      <w:lvlJc w:val="left"/>
      <w:pPr>
        <w:ind w:left="311" w:hanging="160"/>
      </w:pPr>
      <w:rPr>
        <w:rFonts w:ascii="Calibri" w:eastAsia="Calibri" w:hAnsi="Calibri" w:cs="Calibri" w:hint="default"/>
        <w:b/>
        <w:bCs/>
        <w:spacing w:val="-25"/>
        <w:w w:val="100"/>
        <w:sz w:val="22"/>
        <w:szCs w:val="22"/>
        <w:lang w:val="en-US" w:eastAsia="en-US" w:bidi="en-US"/>
      </w:rPr>
    </w:lvl>
    <w:lvl w:ilvl="1" w:tplc="9666653C">
      <w:start w:val="1"/>
      <w:numFmt w:val="lowerLetter"/>
      <w:lvlText w:val="%2)"/>
      <w:lvlJc w:val="left"/>
      <w:pPr>
        <w:ind w:left="1031" w:hanging="360"/>
      </w:pPr>
      <w:rPr>
        <w:rFonts w:hint="default"/>
        <w:spacing w:val="-11"/>
        <w:w w:val="100"/>
        <w:lang w:val="en-US" w:eastAsia="en-US" w:bidi="en-US"/>
      </w:rPr>
    </w:lvl>
    <w:lvl w:ilvl="2" w:tplc="0DEC5E82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en-US"/>
      </w:rPr>
    </w:lvl>
    <w:lvl w:ilvl="3" w:tplc="1B841060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en-US"/>
      </w:rPr>
    </w:lvl>
    <w:lvl w:ilvl="4" w:tplc="7B1A1B5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en-US"/>
      </w:rPr>
    </w:lvl>
    <w:lvl w:ilvl="5" w:tplc="108E952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3D228AA0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en-US"/>
      </w:rPr>
    </w:lvl>
    <w:lvl w:ilvl="7" w:tplc="BACE26E2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F07EB480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3976584"/>
    <w:multiLevelType w:val="hybridMultilevel"/>
    <w:tmpl w:val="0B2AB38E"/>
    <w:lvl w:ilvl="0" w:tplc="E5021D36">
      <w:start w:val="1"/>
      <w:numFmt w:val="upperRoman"/>
      <w:lvlText w:val="%1"/>
      <w:lvlJc w:val="left"/>
      <w:pPr>
        <w:ind w:left="1691" w:hanging="131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en-US" w:eastAsia="en-US" w:bidi="en-US"/>
      </w:rPr>
    </w:lvl>
    <w:lvl w:ilvl="1" w:tplc="1F1CCF0E">
      <w:numFmt w:val="bullet"/>
      <w:lvlText w:val="•"/>
      <w:lvlJc w:val="left"/>
      <w:pPr>
        <w:ind w:left="2391" w:hanging="131"/>
      </w:pPr>
      <w:rPr>
        <w:rFonts w:hint="default"/>
        <w:lang w:val="en-US" w:eastAsia="en-US" w:bidi="en-US"/>
      </w:rPr>
    </w:lvl>
    <w:lvl w:ilvl="2" w:tplc="EDCA1B68">
      <w:numFmt w:val="bullet"/>
      <w:lvlText w:val="•"/>
      <w:lvlJc w:val="left"/>
      <w:pPr>
        <w:ind w:left="3364" w:hanging="131"/>
      </w:pPr>
      <w:rPr>
        <w:rFonts w:hint="default"/>
        <w:lang w:val="en-US" w:eastAsia="en-US" w:bidi="en-US"/>
      </w:rPr>
    </w:lvl>
    <w:lvl w:ilvl="3" w:tplc="A9C8CA7E">
      <w:numFmt w:val="bullet"/>
      <w:lvlText w:val="•"/>
      <w:lvlJc w:val="left"/>
      <w:pPr>
        <w:ind w:left="4337" w:hanging="131"/>
      </w:pPr>
      <w:rPr>
        <w:rFonts w:hint="default"/>
        <w:lang w:val="en-US" w:eastAsia="en-US" w:bidi="en-US"/>
      </w:rPr>
    </w:lvl>
    <w:lvl w:ilvl="4" w:tplc="E5EC1054">
      <w:numFmt w:val="bullet"/>
      <w:lvlText w:val="•"/>
      <w:lvlJc w:val="left"/>
      <w:pPr>
        <w:ind w:left="5310" w:hanging="131"/>
      </w:pPr>
      <w:rPr>
        <w:rFonts w:hint="default"/>
        <w:lang w:val="en-US" w:eastAsia="en-US" w:bidi="en-US"/>
      </w:rPr>
    </w:lvl>
    <w:lvl w:ilvl="5" w:tplc="CE6EDA7C">
      <w:numFmt w:val="bullet"/>
      <w:lvlText w:val="•"/>
      <w:lvlJc w:val="left"/>
      <w:pPr>
        <w:ind w:left="6284" w:hanging="131"/>
      </w:pPr>
      <w:rPr>
        <w:rFonts w:hint="default"/>
        <w:lang w:val="en-US" w:eastAsia="en-US" w:bidi="en-US"/>
      </w:rPr>
    </w:lvl>
    <w:lvl w:ilvl="6" w:tplc="88325E30">
      <w:numFmt w:val="bullet"/>
      <w:lvlText w:val="•"/>
      <w:lvlJc w:val="left"/>
      <w:pPr>
        <w:ind w:left="7257" w:hanging="131"/>
      </w:pPr>
      <w:rPr>
        <w:rFonts w:hint="default"/>
        <w:lang w:val="en-US" w:eastAsia="en-US" w:bidi="en-US"/>
      </w:rPr>
    </w:lvl>
    <w:lvl w:ilvl="7" w:tplc="BCC2D5F2">
      <w:numFmt w:val="bullet"/>
      <w:lvlText w:val="•"/>
      <w:lvlJc w:val="left"/>
      <w:pPr>
        <w:ind w:left="8230" w:hanging="131"/>
      </w:pPr>
      <w:rPr>
        <w:rFonts w:hint="default"/>
        <w:lang w:val="en-US" w:eastAsia="en-US" w:bidi="en-US"/>
      </w:rPr>
    </w:lvl>
    <w:lvl w:ilvl="8" w:tplc="2F88C232">
      <w:numFmt w:val="bullet"/>
      <w:lvlText w:val="•"/>
      <w:lvlJc w:val="left"/>
      <w:pPr>
        <w:ind w:left="9203" w:hanging="131"/>
      </w:pPr>
      <w:rPr>
        <w:rFonts w:hint="default"/>
        <w:lang w:val="en-US" w:eastAsia="en-US" w:bidi="en-US"/>
      </w:rPr>
    </w:lvl>
  </w:abstractNum>
  <w:abstractNum w:abstractNumId="7" w15:restartNumberingAfterBreak="0">
    <w:nsid w:val="35E30EF0"/>
    <w:multiLevelType w:val="hybridMultilevel"/>
    <w:tmpl w:val="99FE4CF8"/>
    <w:lvl w:ilvl="0" w:tplc="147C1666">
      <w:numFmt w:val="bullet"/>
      <w:lvlText w:val="-"/>
      <w:lvlJc w:val="left"/>
      <w:pPr>
        <w:ind w:left="255" w:hanging="1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67038CA">
      <w:numFmt w:val="bullet"/>
      <w:lvlText w:val="•"/>
      <w:lvlJc w:val="left"/>
      <w:pPr>
        <w:ind w:left="1216" w:hanging="125"/>
      </w:pPr>
      <w:rPr>
        <w:rFonts w:hint="default"/>
        <w:lang w:val="en-US" w:eastAsia="en-US" w:bidi="en-US"/>
      </w:rPr>
    </w:lvl>
    <w:lvl w:ilvl="2" w:tplc="F564C2B2">
      <w:numFmt w:val="bullet"/>
      <w:lvlText w:val="•"/>
      <w:lvlJc w:val="left"/>
      <w:pPr>
        <w:ind w:left="2172" w:hanging="125"/>
      </w:pPr>
      <w:rPr>
        <w:rFonts w:hint="default"/>
        <w:lang w:val="en-US" w:eastAsia="en-US" w:bidi="en-US"/>
      </w:rPr>
    </w:lvl>
    <w:lvl w:ilvl="3" w:tplc="DED08522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4" w:tplc="CF30082E">
      <w:numFmt w:val="bullet"/>
      <w:lvlText w:val="•"/>
      <w:lvlJc w:val="left"/>
      <w:pPr>
        <w:ind w:left="4084" w:hanging="125"/>
      </w:pPr>
      <w:rPr>
        <w:rFonts w:hint="default"/>
        <w:lang w:val="en-US" w:eastAsia="en-US" w:bidi="en-US"/>
      </w:rPr>
    </w:lvl>
    <w:lvl w:ilvl="5" w:tplc="4156ED0A">
      <w:numFmt w:val="bullet"/>
      <w:lvlText w:val="•"/>
      <w:lvlJc w:val="left"/>
      <w:pPr>
        <w:ind w:left="5040" w:hanging="125"/>
      </w:pPr>
      <w:rPr>
        <w:rFonts w:hint="default"/>
        <w:lang w:val="en-US" w:eastAsia="en-US" w:bidi="en-US"/>
      </w:rPr>
    </w:lvl>
    <w:lvl w:ilvl="6" w:tplc="412E156A">
      <w:numFmt w:val="bullet"/>
      <w:lvlText w:val="•"/>
      <w:lvlJc w:val="left"/>
      <w:pPr>
        <w:ind w:left="5996" w:hanging="125"/>
      </w:pPr>
      <w:rPr>
        <w:rFonts w:hint="default"/>
        <w:lang w:val="en-US" w:eastAsia="en-US" w:bidi="en-US"/>
      </w:rPr>
    </w:lvl>
    <w:lvl w:ilvl="7" w:tplc="D8747198">
      <w:numFmt w:val="bullet"/>
      <w:lvlText w:val="•"/>
      <w:lvlJc w:val="left"/>
      <w:pPr>
        <w:ind w:left="6952" w:hanging="125"/>
      </w:pPr>
      <w:rPr>
        <w:rFonts w:hint="default"/>
        <w:lang w:val="en-US" w:eastAsia="en-US" w:bidi="en-US"/>
      </w:rPr>
    </w:lvl>
    <w:lvl w:ilvl="8" w:tplc="6F7434EC">
      <w:numFmt w:val="bullet"/>
      <w:lvlText w:val="•"/>
      <w:lvlJc w:val="left"/>
      <w:pPr>
        <w:ind w:left="7908" w:hanging="125"/>
      </w:pPr>
      <w:rPr>
        <w:rFonts w:hint="default"/>
        <w:lang w:val="en-US" w:eastAsia="en-US" w:bidi="en-US"/>
      </w:rPr>
    </w:lvl>
  </w:abstractNum>
  <w:abstractNum w:abstractNumId="8" w15:restartNumberingAfterBreak="0">
    <w:nsid w:val="49DA747B"/>
    <w:multiLevelType w:val="hybridMultilevel"/>
    <w:tmpl w:val="5D90C3C6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A9E2F6C"/>
    <w:multiLevelType w:val="hybridMultilevel"/>
    <w:tmpl w:val="5E426F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2937"/>
    <w:multiLevelType w:val="hybridMultilevel"/>
    <w:tmpl w:val="908E3764"/>
    <w:lvl w:ilvl="0" w:tplc="BE206C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6FC02AA"/>
    <w:multiLevelType w:val="hybridMultilevel"/>
    <w:tmpl w:val="93664AA6"/>
    <w:lvl w:ilvl="0" w:tplc="2F7C30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751845"/>
    <w:multiLevelType w:val="hybridMultilevel"/>
    <w:tmpl w:val="B9462E90"/>
    <w:lvl w:ilvl="0" w:tplc="23DAB9E2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num w:numId="1" w16cid:durableId="179782584">
    <w:abstractNumId w:val="6"/>
  </w:num>
  <w:num w:numId="2" w16cid:durableId="302928737">
    <w:abstractNumId w:val="7"/>
  </w:num>
  <w:num w:numId="3" w16cid:durableId="2080131594">
    <w:abstractNumId w:val="5"/>
  </w:num>
  <w:num w:numId="4" w16cid:durableId="1451440088">
    <w:abstractNumId w:val="12"/>
  </w:num>
  <w:num w:numId="5" w16cid:durableId="989140261">
    <w:abstractNumId w:val="0"/>
  </w:num>
  <w:num w:numId="6" w16cid:durableId="832768510">
    <w:abstractNumId w:val="3"/>
  </w:num>
  <w:num w:numId="7" w16cid:durableId="1059088272">
    <w:abstractNumId w:val="1"/>
  </w:num>
  <w:num w:numId="8" w16cid:durableId="783697598">
    <w:abstractNumId w:val="2"/>
  </w:num>
  <w:num w:numId="9" w16cid:durableId="1854102969">
    <w:abstractNumId w:val="11"/>
  </w:num>
  <w:num w:numId="10" w16cid:durableId="1665547932">
    <w:abstractNumId w:val="10"/>
  </w:num>
  <w:num w:numId="11" w16cid:durableId="89085290">
    <w:abstractNumId w:val="4"/>
  </w:num>
  <w:num w:numId="12" w16cid:durableId="253323711">
    <w:abstractNumId w:val="9"/>
  </w:num>
  <w:num w:numId="13" w16cid:durableId="80905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ECC"/>
    <w:rsid w:val="00051D65"/>
    <w:rsid w:val="00081466"/>
    <w:rsid w:val="00090CF4"/>
    <w:rsid w:val="000A4453"/>
    <w:rsid w:val="000A7D6D"/>
    <w:rsid w:val="000B5912"/>
    <w:rsid w:val="000C1666"/>
    <w:rsid w:val="000C4101"/>
    <w:rsid w:val="000C465D"/>
    <w:rsid w:val="000E49B5"/>
    <w:rsid w:val="000E5BE6"/>
    <w:rsid w:val="000F4179"/>
    <w:rsid w:val="000F7AA4"/>
    <w:rsid w:val="001243BA"/>
    <w:rsid w:val="00161EC1"/>
    <w:rsid w:val="00164E7E"/>
    <w:rsid w:val="001662CB"/>
    <w:rsid w:val="001931B8"/>
    <w:rsid w:val="001941BD"/>
    <w:rsid w:val="001B4184"/>
    <w:rsid w:val="001C10B0"/>
    <w:rsid w:val="001C21FF"/>
    <w:rsid w:val="001D58D0"/>
    <w:rsid w:val="001D7F23"/>
    <w:rsid w:val="001E4B07"/>
    <w:rsid w:val="002116E0"/>
    <w:rsid w:val="00213281"/>
    <w:rsid w:val="00220707"/>
    <w:rsid w:val="00230159"/>
    <w:rsid w:val="0023073B"/>
    <w:rsid w:val="002363AE"/>
    <w:rsid w:val="002833AC"/>
    <w:rsid w:val="0028447A"/>
    <w:rsid w:val="002D4BD7"/>
    <w:rsid w:val="002D63C9"/>
    <w:rsid w:val="002E0340"/>
    <w:rsid w:val="002E0C8A"/>
    <w:rsid w:val="002F001F"/>
    <w:rsid w:val="003142FC"/>
    <w:rsid w:val="003229CA"/>
    <w:rsid w:val="003238DC"/>
    <w:rsid w:val="00340F4E"/>
    <w:rsid w:val="003602F3"/>
    <w:rsid w:val="00366948"/>
    <w:rsid w:val="00374E99"/>
    <w:rsid w:val="00387214"/>
    <w:rsid w:val="0038723C"/>
    <w:rsid w:val="0039580D"/>
    <w:rsid w:val="00396542"/>
    <w:rsid w:val="00397708"/>
    <w:rsid w:val="003A3861"/>
    <w:rsid w:val="003B2CE5"/>
    <w:rsid w:val="003C5801"/>
    <w:rsid w:val="003D6CCF"/>
    <w:rsid w:val="003F7889"/>
    <w:rsid w:val="00410140"/>
    <w:rsid w:val="00414F1A"/>
    <w:rsid w:val="00427464"/>
    <w:rsid w:val="00433822"/>
    <w:rsid w:val="00444F44"/>
    <w:rsid w:val="00445BFF"/>
    <w:rsid w:val="00460EDC"/>
    <w:rsid w:val="00474D83"/>
    <w:rsid w:val="00477BFD"/>
    <w:rsid w:val="00477C52"/>
    <w:rsid w:val="004827E6"/>
    <w:rsid w:val="00482C50"/>
    <w:rsid w:val="004A5000"/>
    <w:rsid w:val="004B086F"/>
    <w:rsid w:val="004B244F"/>
    <w:rsid w:val="004B2B82"/>
    <w:rsid w:val="004E34C7"/>
    <w:rsid w:val="004F1F62"/>
    <w:rsid w:val="00510F29"/>
    <w:rsid w:val="00542406"/>
    <w:rsid w:val="00544F5E"/>
    <w:rsid w:val="00556468"/>
    <w:rsid w:val="0059231D"/>
    <w:rsid w:val="005A0D6F"/>
    <w:rsid w:val="005B062D"/>
    <w:rsid w:val="005B7A8D"/>
    <w:rsid w:val="005B7BDF"/>
    <w:rsid w:val="00614583"/>
    <w:rsid w:val="00627B5E"/>
    <w:rsid w:val="0063322F"/>
    <w:rsid w:val="00652063"/>
    <w:rsid w:val="00652911"/>
    <w:rsid w:val="00656A6F"/>
    <w:rsid w:val="006719DB"/>
    <w:rsid w:val="00673E98"/>
    <w:rsid w:val="00692BBE"/>
    <w:rsid w:val="00696993"/>
    <w:rsid w:val="0069792D"/>
    <w:rsid w:val="00697C61"/>
    <w:rsid w:val="006B1DF6"/>
    <w:rsid w:val="006F0114"/>
    <w:rsid w:val="006F2417"/>
    <w:rsid w:val="007320AB"/>
    <w:rsid w:val="00753B46"/>
    <w:rsid w:val="00781313"/>
    <w:rsid w:val="00785495"/>
    <w:rsid w:val="007879A4"/>
    <w:rsid w:val="007913E8"/>
    <w:rsid w:val="00795848"/>
    <w:rsid w:val="007B03D0"/>
    <w:rsid w:val="007B2CAF"/>
    <w:rsid w:val="007C0AEA"/>
    <w:rsid w:val="007E7865"/>
    <w:rsid w:val="007F6508"/>
    <w:rsid w:val="00800023"/>
    <w:rsid w:val="0082215A"/>
    <w:rsid w:val="0086029B"/>
    <w:rsid w:val="0089455C"/>
    <w:rsid w:val="008A686E"/>
    <w:rsid w:val="008B0B39"/>
    <w:rsid w:val="008B1D2F"/>
    <w:rsid w:val="008C46BB"/>
    <w:rsid w:val="008D0199"/>
    <w:rsid w:val="008E33D8"/>
    <w:rsid w:val="008F1319"/>
    <w:rsid w:val="00914826"/>
    <w:rsid w:val="00914FCE"/>
    <w:rsid w:val="00923AC1"/>
    <w:rsid w:val="00937DA8"/>
    <w:rsid w:val="00941033"/>
    <w:rsid w:val="009559C5"/>
    <w:rsid w:val="009714A9"/>
    <w:rsid w:val="00977561"/>
    <w:rsid w:val="00984024"/>
    <w:rsid w:val="00996486"/>
    <w:rsid w:val="009A3B14"/>
    <w:rsid w:val="009D6FB4"/>
    <w:rsid w:val="009F4B7A"/>
    <w:rsid w:val="00A2282D"/>
    <w:rsid w:val="00A273A1"/>
    <w:rsid w:val="00A54DF0"/>
    <w:rsid w:val="00A56D57"/>
    <w:rsid w:val="00A63CAF"/>
    <w:rsid w:val="00A7015B"/>
    <w:rsid w:val="00A724B9"/>
    <w:rsid w:val="00AA435D"/>
    <w:rsid w:val="00AB7095"/>
    <w:rsid w:val="00AC0192"/>
    <w:rsid w:val="00AC2F74"/>
    <w:rsid w:val="00AD248B"/>
    <w:rsid w:val="00AD6F36"/>
    <w:rsid w:val="00AE2063"/>
    <w:rsid w:val="00B0504C"/>
    <w:rsid w:val="00B1010F"/>
    <w:rsid w:val="00B26EBF"/>
    <w:rsid w:val="00B43D07"/>
    <w:rsid w:val="00B44810"/>
    <w:rsid w:val="00B63868"/>
    <w:rsid w:val="00B71682"/>
    <w:rsid w:val="00B718DB"/>
    <w:rsid w:val="00B742AF"/>
    <w:rsid w:val="00B82990"/>
    <w:rsid w:val="00BA4F7D"/>
    <w:rsid w:val="00BB1D76"/>
    <w:rsid w:val="00BE2F26"/>
    <w:rsid w:val="00BE6C2D"/>
    <w:rsid w:val="00BF2E09"/>
    <w:rsid w:val="00BF32F2"/>
    <w:rsid w:val="00C02EB7"/>
    <w:rsid w:val="00C42BA4"/>
    <w:rsid w:val="00C63722"/>
    <w:rsid w:val="00C66168"/>
    <w:rsid w:val="00C97405"/>
    <w:rsid w:val="00CA5BC8"/>
    <w:rsid w:val="00CE0EB1"/>
    <w:rsid w:val="00CE60C0"/>
    <w:rsid w:val="00CF0935"/>
    <w:rsid w:val="00CF4ECC"/>
    <w:rsid w:val="00D008CC"/>
    <w:rsid w:val="00D21B25"/>
    <w:rsid w:val="00D21E0F"/>
    <w:rsid w:val="00D23D9F"/>
    <w:rsid w:val="00D564F9"/>
    <w:rsid w:val="00D62F91"/>
    <w:rsid w:val="00D7495A"/>
    <w:rsid w:val="00D85FB2"/>
    <w:rsid w:val="00D96C47"/>
    <w:rsid w:val="00DB3E48"/>
    <w:rsid w:val="00DB75C0"/>
    <w:rsid w:val="00DF2825"/>
    <w:rsid w:val="00DF7CD7"/>
    <w:rsid w:val="00E404A1"/>
    <w:rsid w:val="00E62D9B"/>
    <w:rsid w:val="00E62EEC"/>
    <w:rsid w:val="00E83915"/>
    <w:rsid w:val="00E92CD6"/>
    <w:rsid w:val="00EA69C4"/>
    <w:rsid w:val="00EB0EFC"/>
    <w:rsid w:val="00EB6EB4"/>
    <w:rsid w:val="00EC1DCE"/>
    <w:rsid w:val="00EC79A7"/>
    <w:rsid w:val="00EE0636"/>
    <w:rsid w:val="00EE3781"/>
    <w:rsid w:val="00EF39AA"/>
    <w:rsid w:val="00EF4B65"/>
    <w:rsid w:val="00F01179"/>
    <w:rsid w:val="00F04540"/>
    <w:rsid w:val="00F0574B"/>
    <w:rsid w:val="00F12E56"/>
    <w:rsid w:val="00F1768D"/>
    <w:rsid w:val="00F2749A"/>
    <w:rsid w:val="00F46592"/>
    <w:rsid w:val="00F470CE"/>
    <w:rsid w:val="00F73B2A"/>
    <w:rsid w:val="00FA7980"/>
    <w:rsid w:val="00FB140B"/>
    <w:rsid w:val="00FC430E"/>
    <w:rsid w:val="00FC7039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909A4"/>
  <w15:docId w15:val="{3951547C-C6E6-4802-87CD-96C00125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EEC"/>
    <w:pPr>
      <w:keepNext/>
      <w:jc w:val="both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Sumrio4">
    <w:name w:val="toc 4"/>
    <w:autoRedefine/>
    <w:semiHidden/>
    <w:rsid w:val="00CF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F4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8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86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E62EEC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rsid w:val="00E62EEC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E62EE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fontstyle21">
    <w:name w:val="fontstyle21"/>
    <w:rsid w:val="00E62E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62EE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C1DCE"/>
    <w:pPr>
      <w:widowControl w:val="0"/>
      <w:autoSpaceDE w:val="0"/>
      <w:autoSpaceDN w:val="0"/>
      <w:ind w:left="200"/>
      <w:jc w:val="both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PargrafodaLista">
    <w:name w:val="List Paragraph"/>
    <w:basedOn w:val="Normal"/>
    <w:uiPriority w:val="1"/>
    <w:qFormat/>
    <w:rsid w:val="00977561"/>
    <w:pPr>
      <w:ind w:left="720"/>
      <w:contextualSpacing/>
    </w:pPr>
  </w:style>
  <w:style w:type="table" w:styleId="Tabelacomgrade">
    <w:name w:val="Table Grid"/>
    <w:basedOn w:val="Tabelanormal"/>
    <w:uiPriority w:val="39"/>
    <w:rsid w:val="00AA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1424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Juliane Higino</cp:lastModifiedBy>
  <cp:revision>5</cp:revision>
  <cp:lastPrinted>2021-08-31T17:42:00Z</cp:lastPrinted>
  <dcterms:created xsi:type="dcterms:W3CDTF">2024-04-08T19:16:00Z</dcterms:created>
  <dcterms:modified xsi:type="dcterms:W3CDTF">2024-04-08T20:03:00Z</dcterms:modified>
</cp:coreProperties>
</file>