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DECRETO MUNICIPAL N° 1.250/2022, DE 30 DE MARÇO DE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Abre Crédito Adicional Suplementar.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PREFEITA MUNICIPAL DE VARGEM/SC, EXMA. SRA. MILENA ANDERSEN LOPES BECHER,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uso de suas atribuições e com fundamento no que dispõe a Lei Orgânica do Município, e com amparo na Lei Municipal nº 873/2021...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DECRETA: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Fica aberto crédito adicional suplementar à seguinte dotação no Orçamento vigente do Município: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Órgão/Unidade 07.01 – SECRETARIA DO DESENVOLVIMENTO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Atividade: 2.025 – Manutenção da Assistência Social Geral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(144) Modalidade 3.3.90.00.00.00.00.03.0044 .............................................................. R$   28.043,48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recursos orçamentários para fazer face ao presente crédito adicional suplementar correrão à conta do superávit financeiro do exercício de 2021, apurado conforme balanço, na fonte de recursos 0044 – PNATE, conforme art. 43, §1º, inciso I, da Lei nº 4.320/64.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Fica aberto crédito adicional suplementar às seguintes dotações no Orçamento vigente do Município: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Órgão/Unidade 03.01 – SECRETARIA DE ADMINISTRAÇÃO E FINANÇAS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Atividade: 2.004 – Manutenção da Secretaria de Administração e Finanças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(145) Modalidade 3.3.90.00.00.00.00.03.0000 .............................................................. R$   30.000,00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right="-1" w:firstLine="0"/>
        <w:jc w:val="both"/>
        <w:rPr>
          <w:rFonts w:ascii="Calibri" w:cs="Calibri" w:eastAsia="Calibri" w:hAnsi="Calibri"/>
          <w:i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u w:val="single"/>
          <w:vertAlign w:val="baseline"/>
          <w:rtl w:val="0"/>
        </w:rPr>
        <w:t xml:space="preserve">Órgão/Unidade: 05.01 / SECRETARIA MUNICIPAL DE TRANSPORTES, OBRAS E SERV. URBANOS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right="-1" w:firstLine="0"/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Proj/Ativ: 2.018 / Manutenção da Secretaria de Transportes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right="-1" w:firstLine="0"/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(125) Modalidade: 3.3.90.00.00.00.03.0000 / Aplicações Diretas ................................ R$    80.000,00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09" w:right="-1" w:firstLine="0"/>
        <w:jc w:val="both"/>
        <w:rPr>
          <w:rFonts w:ascii="Calibri" w:cs="Calibri" w:eastAsia="Calibri" w:hAnsi="Calibri"/>
          <w:i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u w:val="single"/>
          <w:vertAlign w:val="baseline"/>
          <w:rtl w:val="0"/>
        </w:rPr>
        <w:t xml:space="preserve">Órgão/Unidade: 06.01 / SECRETARIA MUNICIPAL DE AGRICULTURA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09" w:right="-1" w:firstLine="0"/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Proj/Ativ: 2.019 / Manutenção da Secretaria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09" w:right="-1" w:firstLine="0"/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(126) Modalidade: 3.3.90.00.00.00.03.0000 / Aplicações Diretas ................................. R$   25.000,00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recursos orçamentários para fazer face ao presente crédito adicional suplementar correrão à conta do superávit financeiro do exercício de 2021, apurado conforme balanço, na fonte de recursos 0000 – Recursos Ordinários, conforme art. 43, §1º, inciso I, da Lei nº 4.320/64.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Este Decreto entra em vigor na data de sua publicação.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96" w:right="0" w:firstLine="230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5" w:right="0" w:hanging="2835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Prefeitura Municipal de Vargem/SC, em 30 de março de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96" w:right="0" w:firstLine="3167.999999999999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284"/>
        <w:jc w:val="center"/>
        <w:rPr>
          <w:rFonts w:ascii="Calibri" w:cs="Calibri" w:eastAsia="Calibri" w:hAnsi="Calibri"/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vertAlign w:val="baseline"/>
          <w:rtl w:val="0"/>
        </w:rPr>
        <w:t xml:space="preserve">Milena Andersen Lopes Becher,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284"/>
        <w:jc w:val="center"/>
        <w:rPr>
          <w:rFonts w:ascii="Calibri" w:cs="Calibri" w:eastAsia="Calibri" w:hAnsi="Calibri"/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vertAlign w:val="baseline"/>
          <w:rtl w:val="0"/>
        </w:rPr>
        <w:t xml:space="preserve">Prefeita Municipal.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rFonts w:ascii="Calibri" w:cs="Calibri" w:eastAsia="Calibri" w:hAnsi="Calibri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rFonts w:ascii="Calibri" w:cs="Calibri" w:eastAsia="Calibri" w:hAnsi="Calibri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rFonts w:ascii="Calibri" w:cs="Calibri" w:eastAsia="Calibri" w:hAnsi="Calibri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rFonts w:ascii="Calibri" w:cs="Calibri" w:eastAsia="Calibri" w:hAnsi="Calibri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rFonts w:ascii="Calibri" w:cs="Calibri" w:eastAsia="Calibri" w:hAnsi="Calibri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rFonts w:ascii="Calibri" w:cs="Calibri" w:eastAsia="Calibri" w:hAnsi="Calibri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vertAlign w:val="baseline"/>
          <w:rtl w:val="0"/>
        </w:rPr>
        <w:t xml:space="preserve">Registrado e publicado o presente Decreto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rFonts w:ascii="Calibri" w:cs="Calibri" w:eastAsia="Calibri" w:hAnsi="Calibri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vertAlign w:val="baseline"/>
          <w:rtl w:val="0"/>
        </w:rPr>
        <w:t xml:space="preserve">no átrio da Prefeitura Municipal na data supra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>
          <w:rFonts w:ascii="Calibri" w:cs="Calibri" w:eastAsia="Calibri" w:hAnsi="Calibri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rFonts w:ascii="Calibri" w:cs="Calibri" w:eastAsia="Calibri" w:hAnsi="Calibri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vertAlign w:val="baseline"/>
          <w:rtl w:val="0"/>
        </w:rPr>
        <w:t xml:space="preserve">Danielly Cavalli, Secretária Municipal de Administração e Finanças.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2552" w:top="2836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BankGothic Lt BT"/>
  <w:font w:name="Times New Roman"/>
  <w:font w:name="Tahom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284" w:right="71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fl. 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284" w:right="71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284" w:right="71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284" w:right="71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284" w:right="71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284" w:right="71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284" w:right="71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284" w:right="71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284" w:right="71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i w:val="0"/>
        <w:sz w:val="20"/>
        <w:szCs w:val="20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570.0" w:type="dxa"/>
      <w:jc w:val="left"/>
      <w:tblInd w:w="284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4" w:val="single"/>
        <w:insideV w:color="000000" w:space="0" w:sz="0" w:val="nil"/>
      </w:tblBorders>
      <w:tblLayout w:type="fixed"/>
      <w:tblLook w:val="0000"/>
    </w:tblPr>
    <w:tblGrid>
      <w:gridCol w:w="1809"/>
      <w:gridCol w:w="7761"/>
      <w:tblGridChange w:id="0">
        <w:tblGrid>
          <w:gridCol w:w="1809"/>
          <w:gridCol w:w="7761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284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9"/>
              <w:szCs w:val="19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88" w:lineRule="auto"/>
            <w:ind w:left="284" w:right="284" w:firstLine="0"/>
            <w:jc w:val="center"/>
            <w:rPr>
              <w:rFonts w:ascii="BankGothic Lt BT" w:cs="BankGothic Lt BT" w:eastAsia="BankGothic Lt BT" w:hAnsi="BankGothic Lt BT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284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7"/>
        <w:szCs w:val="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Art %1 - "/>
      <w:lvlJc w:val="left"/>
      <w:pPr>
        <w:ind w:left="0" w:firstLine="0"/>
      </w:pPr>
      <w:rPr>
        <w:b w:val="1"/>
        <w:i w:val="1"/>
        <w:sz w:val="22"/>
        <w:szCs w:val="22"/>
        <w:vertAlign w:val="baseline"/>
      </w:rPr>
    </w:lvl>
    <w:lvl w:ilvl="1">
      <w:start w:val="1"/>
      <w:numFmt w:val="decimal"/>
      <w:lvlText w:val="§ %2 -"/>
      <w:lvlJc w:val="left"/>
      <w:pPr>
        <w:ind w:left="0" w:firstLine="0"/>
      </w:pPr>
      <w:rPr>
        <w:rFonts w:ascii="Calibri" w:cs="Calibri" w:eastAsia="Calibri" w:hAnsi="Calibri"/>
        <w:b w:val="1"/>
        <w:i w:val="1"/>
        <w:sz w:val="22"/>
        <w:szCs w:val="22"/>
        <w:vertAlign w:val="baseline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="Tahoma" w:cs="Tahoma" w:eastAsia="Tahoma" w:hAnsi="Tahoma"/>
        <w:b w:val="1"/>
        <w:i w:val="1"/>
        <w:sz w:val="24"/>
        <w:szCs w:val="24"/>
        <w:vertAlign w:val="baseline"/>
      </w:rPr>
    </w:lvl>
    <w:lvl w:ilvl="3">
      <w:start w:val="1"/>
      <w:numFmt w:val="decimal"/>
      <w:lvlText w:val="Parágrafo único -"/>
      <w:lvlJc w:val="left"/>
      <w:pPr>
        <w:ind w:left="0" w:firstLine="0"/>
      </w:pPr>
      <w:rPr>
        <w:rFonts w:ascii="Calibri" w:cs="Calibri" w:eastAsia="Calibri" w:hAnsi="Calibri"/>
        <w:b w:val="1"/>
        <w:i w:val="1"/>
        <w:sz w:val="22"/>
        <w:szCs w:val="22"/>
        <w:vertAlign w:val="baseline"/>
      </w:rPr>
    </w:lvl>
    <w:lvl w:ilvl="4">
      <w:start w:val="1"/>
      <w:numFmt w:val="upperRoman"/>
      <w:lvlText w:val="%5 -"/>
      <w:lvlJc w:val="left"/>
      <w:pPr>
        <w:ind w:left="0" w:firstLine="0"/>
      </w:pPr>
      <w:rPr>
        <w:rFonts w:ascii="Times New Roman" w:cs="Times New Roman" w:eastAsia="Times New Roman" w:hAnsi="Times New Roman"/>
        <w:b w:val="1"/>
        <w:i w:val="1"/>
        <w:vertAlign w:val="baseline"/>
      </w:rPr>
    </w:lvl>
    <w:lvl w:ilvl="5">
      <w:start w:val="1"/>
      <w:numFmt w:val="lowerLetter"/>
      <w:lvlText w:val="%6 -"/>
      <w:lvlJc w:val="left"/>
      <w:pPr>
        <w:ind w:left="0" w:firstLine="0"/>
      </w:pPr>
      <w:rPr>
        <w:rFonts w:ascii="Tahoma" w:cs="Tahoma" w:eastAsia="Tahoma" w:hAnsi="Tahoma"/>
        <w:b w:val="1"/>
        <w:i w:val="1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>
    <w:lvl w:ilvl="0">
      <w:start w:val="1"/>
      <w:numFmt w:val="decimal"/>
      <w:lvlText w:val="Art 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  <w:ind w:left="284" w:right="284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